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59384" w14:textId="78C06CEC" w:rsidR="00E35D09" w:rsidRPr="00344F34" w:rsidRDefault="00E35D09" w:rsidP="00344F34">
      <w:pPr>
        <w:pStyle w:val="Nadpis1"/>
        <w:rPr>
          <w:b/>
          <w:bCs/>
        </w:rPr>
      </w:pPr>
      <w:r w:rsidRPr="00344F34">
        <w:rPr>
          <w:b/>
          <w:bCs/>
        </w:rPr>
        <w:t>Změna legislativy od 1.1.2024</w:t>
      </w:r>
    </w:p>
    <w:p w14:paraId="4DD27325" w14:textId="706A0BB3" w:rsidR="003D5643" w:rsidRDefault="00E45882" w:rsidP="00E45882">
      <w:pPr>
        <w:jc w:val="left"/>
        <w:rPr>
          <w:rFonts w:eastAsiaTheme="majorEastAsia"/>
        </w:rPr>
      </w:pPr>
      <w:r>
        <w:rPr>
          <w:rFonts w:eastAsiaTheme="majorEastAsia"/>
        </w:rPr>
        <w:t xml:space="preserve">Balíček změn </w:t>
      </w:r>
      <w:r w:rsidR="007D496A">
        <w:rPr>
          <w:rFonts w:eastAsiaTheme="majorEastAsia"/>
        </w:rPr>
        <w:t xml:space="preserve">je </w:t>
      </w:r>
      <w:r>
        <w:rPr>
          <w:rFonts w:eastAsiaTheme="majorEastAsia"/>
        </w:rPr>
        <w:t>uveřejněn</w:t>
      </w:r>
      <w:r w:rsidR="00FE7773">
        <w:rPr>
          <w:rFonts w:eastAsiaTheme="majorEastAsia"/>
        </w:rPr>
        <w:t>ý</w:t>
      </w:r>
      <w:r>
        <w:rPr>
          <w:rFonts w:eastAsiaTheme="majorEastAsia"/>
        </w:rPr>
        <w:t xml:space="preserve"> ve sbírce zákonů </w:t>
      </w:r>
      <w:r w:rsidR="007D496A">
        <w:rPr>
          <w:rFonts w:eastAsiaTheme="majorEastAsia"/>
        </w:rPr>
        <w:t xml:space="preserve">jako zákon </w:t>
      </w:r>
      <w:r w:rsidR="007D496A" w:rsidRPr="007D496A">
        <w:rPr>
          <w:rFonts w:eastAsiaTheme="majorEastAsia"/>
        </w:rPr>
        <w:t>349/2023 Sb.</w:t>
      </w:r>
      <w:r w:rsidR="007D496A">
        <w:rPr>
          <w:rFonts w:eastAsiaTheme="majorEastAsia"/>
        </w:rPr>
        <w:t xml:space="preserve"> dne </w:t>
      </w:r>
      <w:r>
        <w:rPr>
          <w:rFonts w:eastAsiaTheme="majorEastAsia"/>
        </w:rPr>
        <w:t>12.12.202</w:t>
      </w:r>
      <w:r w:rsidR="006B3ADF">
        <w:rPr>
          <w:rFonts w:eastAsiaTheme="majorEastAsia"/>
        </w:rPr>
        <w:t>3</w:t>
      </w:r>
      <w:r>
        <w:rPr>
          <w:rFonts w:eastAsiaTheme="majorEastAsia"/>
        </w:rPr>
        <w:t xml:space="preserve">. </w:t>
      </w:r>
      <w:r>
        <w:rPr>
          <w:rFonts w:eastAsiaTheme="majorEastAsia"/>
        </w:rPr>
        <w:br/>
      </w:r>
      <w:r w:rsidR="0029483E">
        <w:rPr>
          <w:rFonts w:eastAsiaTheme="majorEastAsia"/>
        </w:rPr>
        <w:t xml:space="preserve">Před koncem roku 2023 rozhodně nainstalujte </w:t>
      </w:r>
      <w:r w:rsidR="00AA3233">
        <w:rPr>
          <w:rFonts w:eastAsiaTheme="majorEastAsia"/>
        </w:rPr>
        <w:t xml:space="preserve">posledně uveřejněnou </w:t>
      </w:r>
      <w:r w:rsidR="0029483E">
        <w:rPr>
          <w:rFonts w:eastAsiaTheme="majorEastAsia"/>
        </w:rPr>
        <w:t>v</w:t>
      </w:r>
      <w:r w:rsidR="00E35D09">
        <w:rPr>
          <w:rFonts w:eastAsiaTheme="majorEastAsia"/>
        </w:rPr>
        <w:t>erz</w:t>
      </w:r>
      <w:r w:rsidR="0029483E">
        <w:rPr>
          <w:rFonts w:eastAsiaTheme="majorEastAsia"/>
        </w:rPr>
        <w:t>i Vision ERP</w:t>
      </w:r>
      <w:r w:rsidR="00E35D09">
        <w:rPr>
          <w:rFonts w:eastAsiaTheme="majorEastAsia"/>
        </w:rPr>
        <w:t xml:space="preserve"> </w:t>
      </w:r>
      <w:r w:rsidR="0055522B">
        <w:rPr>
          <w:rFonts w:eastAsiaTheme="majorEastAsia"/>
        </w:rPr>
        <w:t>– U</w:t>
      </w:r>
      <w:r w:rsidR="0055522B" w:rsidRPr="0055522B">
        <w:rPr>
          <w:rFonts w:eastAsiaTheme="majorEastAsia"/>
        </w:rPr>
        <w:t>pg</w:t>
      </w:r>
      <w:r w:rsidR="0055522B">
        <w:rPr>
          <w:rFonts w:eastAsiaTheme="majorEastAsia"/>
        </w:rPr>
        <w:t>rade nejméně:</w:t>
      </w:r>
      <w:r w:rsidR="0055522B" w:rsidRPr="0055522B">
        <w:rPr>
          <w:rFonts w:eastAsiaTheme="majorEastAsia"/>
        </w:rPr>
        <w:t xml:space="preserve"> </w:t>
      </w:r>
      <w:r w:rsidR="0055522B" w:rsidRPr="0055522B">
        <w:rPr>
          <w:rFonts w:eastAsiaTheme="majorEastAsia"/>
          <w:b/>
          <w:bCs/>
          <w:color w:val="FF0000"/>
        </w:rPr>
        <w:t>203.76</w:t>
      </w:r>
      <w:r w:rsidR="0055522B" w:rsidRPr="0055522B">
        <w:rPr>
          <w:rFonts w:eastAsiaTheme="majorEastAsia"/>
          <w:color w:val="FF0000"/>
        </w:rPr>
        <w:t xml:space="preserve"> </w:t>
      </w:r>
      <w:r w:rsidR="0055522B" w:rsidRPr="0055522B">
        <w:rPr>
          <w:rFonts w:eastAsiaTheme="majorEastAsia"/>
        </w:rPr>
        <w:t xml:space="preserve">a klient verze </w:t>
      </w:r>
      <w:r w:rsidR="0055522B">
        <w:rPr>
          <w:rFonts w:eastAsiaTheme="majorEastAsia"/>
        </w:rPr>
        <w:t xml:space="preserve">nejméně </w:t>
      </w:r>
      <w:r w:rsidR="0055522B" w:rsidRPr="0055522B">
        <w:rPr>
          <w:rFonts w:eastAsiaTheme="majorEastAsia"/>
          <w:b/>
          <w:bCs/>
          <w:color w:val="FF0000"/>
        </w:rPr>
        <w:t>3.0.43.804</w:t>
      </w:r>
      <w:r w:rsidR="0029483E">
        <w:rPr>
          <w:rFonts w:eastAsiaTheme="majorEastAsia"/>
        </w:rPr>
        <w:t>. Bude obsahovat nejnutnější změny pro rok 2024</w:t>
      </w:r>
      <w:r>
        <w:rPr>
          <w:rFonts w:eastAsiaTheme="majorEastAsia"/>
        </w:rPr>
        <w:t xml:space="preserve">: </w:t>
      </w:r>
    </w:p>
    <w:p w14:paraId="57104417" w14:textId="5E717382" w:rsidR="001903EC" w:rsidRDefault="001903EC" w:rsidP="003D5643">
      <w:pPr>
        <w:pStyle w:val="Odstavecseseznamem"/>
        <w:numPr>
          <w:ilvl w:val="0"/>
          <w:numId w:val="14"/>
        </w:numPr>
        <w:jc w:val="left"/>
        <w:rPr>
          <w:rFonts w:eastAsiaTheme="majorEastAsia"/>
        </w:rPr>
      </w:pPr>
      <w:r>
        <w:rPr>
          <w:rFonts w:eastAsiaTheme="majorEastAsia"/>
        </w:rPr>
        <w:t>Nastaví novou sníženou sazbu od r. 2024 na 12</w:t>
      </w:r>
      <w:r w:rsidR="00B410C3">
        <w:rPr>
          <w:rFonts w:eastAsiaTheme="majorEastAsia"/>
        </w:rPr>
        <w:t xml:space="preserve"> </w:t>
      </w:r>
      <w:r>
        <w:rPr>
          <w:rFonts w:eastAsiaTheme="majorEastAsia"/>
        </w:rPr>
        <w:t>%, druhou sníženou sazbu zruší (0).</w:t>
      </w:r>
    </w:p>
    <w:p w14:paraId="26CC7712" w14:textId="0DA39177" w:rsidR="003D5643" w:rsidRDefault="00E45882" w:rsidP="003D5643">
      <w:pPr>
        <w:pStyle w:val="Odstavecseseznamem"/>
        <w:numPr>
          <w:ilvl w:val="0"/>
          <w:numId w:val="14"/>
        </w:numPr>
        <w:jc w:val="left"/>
        <w:rPr>
          <w:rFonts w:eastAsiaTheme="majorEastAsia"/>
        </w:rPr>
      </w:pPr>
      <w:r w:rsidRPr="003D5643">
        <w:rPr>
          <w:rFonts w:eastAsiaTheme="majorEastAsia"/>
        </w:rPr>
        <w:t>Zohlední § 37a a přechodné ustanovení k</w:t>
      </w:r>
      <w:r w:rsidR="00FA2651">
        <w:rPr>
          <w:rFonts w:eastAsiaTheme="majorEastAsia"/>
        </w:rPr>
        <w:t xml:space="preserve"> osvobození </w:t>
      </w:r>
      <w:r w:rsidRPr="003D5643">
        <w:rPr>
          <w:rFonts w:eastAsiaTheme="majorEastAsia"/>
        </w:rPr>
        <w:t>DPH u knih, kdy v případě přijetí platby v r.2023 byl vystavený doklad na přijatou úplatu a při vyúčtování v r. 2024 se osvobození, nebo nová sazba či nové procento sazby uplatní jen na cenu převyšující již zdaněný základ daně</w:t>
      </w:r>
      <w:r w:rsidR="00FA2651">
        <w:rPr>
          <w:rFonts w:eastAsiaTheme="majorEastAsia"/>
        </w:rPr>
        <w:t>, pokud vyúčtování není na nižší částku</w:t>
      </w:r>
      <w:r w:rsidRPr="003D5643">
        <w:rPr>
          <w:rFonts w:eastAsiaTheme="majorEastAsia"/>
        </w:rPr>
        <w:t>. To Vision ERP respektuje v případě, že jak na dokladu vystaveném na základě úplaty, tak i na vyúčtování je uplatněna jen jedna sazba, nebo osvobození.</w:t>
      </w:r>
      <w:r w:rsidR="00FA2651">
        <w:rPr>
          <w:rFonts w:eastAsiaTheme="majorEastAsia"/>
        </w:rPr>
        <w:t xml:space="preserve"> Pokud je vyúčtování na nižší částku, procenta a sazby zůstávají z dokladu na přijatou úplatu.</w:t>
      </w:r>
    </w:p>
    <w:p w14:paraId="2356B826" w14:textId="45197621" w:rsidR="0032261B" w:rsidRPr="0032261B" w:rsidRDefault="00E45882" w:rsidP="003D5643">
      <w:pPr>
        <w:pStyle w:val="Odstavecseseznamem"/>
        <w:numPr>
          <w:ilvl w:val="0"/>
          <w:numId w:val="14"/>
        </w:numPr>
        <w:jc w:val="left"/>
        <w:rPr>
          <w:rFonts w:eastAsiaTheme="majorEastAsia"/>
        </w:rPr>
      </w:pPr>
      <w:r w:rsidRPr="003D5643">
        <w:rPr>
          <w:rFonts w:eastAsiaTheme="majorEastAsia"/>
        </w:rPr>
        <w:t xml:space="preserve">Pokud se budete přihlašovat do režimu vylučování </w:t>
      </w:r>
      <w:r w:rsidR="003D5643" w:rsidRPr="003D5643">
        <w:rPr>
          <w:rFonts w:eastAsiaTheme="majorEastAsia"/>
        </w:rPr>
        <w:t>kursových rozdílů, při použití funkce</w:t>
      </w:r>
      <w:r w:rsidR="0032261B">
        <w:rPr>
          <w:rFonts w:eastAsiaTheme="majorEastAsia"/>
        </w:rPr>
        <w:t>:</w:t>
      </w:r>
      <w:r w:rsidR="003D5643" w:rsidRPr="003D5643">
        <w:rPr>
          <w:rFonts w:eastAsiaTheme="majorEastAsia"/>
        </w:rPr>
        <w:t xml:space="preserve">  </w:t>
      </w:r>
      <w:r w:rsidR="0032261B" w:rsidRPr="0032261B">
        <w:rPr>
          <w:rFonts w:eastAsiaTheme="majorEastAsia"/>
          <w:noProof/>
        </w:rPr>
        <w:drawing>
          <wp:inline distT="0" distB="0" distL="0" distR="0" wp14:anchorId="6A693E16" wp14:editId="627FC17C">
            <wp:extent cx="2467319" cy="247685"/>
            <wp:effectExtent l="0" t="0" r="0" b="0"/>
            <wp:docPr id="149225930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225930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67319" cy="24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2261B">
        <w:rPr>
          <w:rFonts w:eastAsiaTheme="majorEastAsia"/>
        </w:rPr>
        <w:t xml:space="preserve"> v dialogu účetní závěrky, nebo při použití funkce účetního dokladu:</w:t>
      </w:r>
      <w:r w:rsidR="0032261B" w:rsidRPr="0032261B">
        <w:rPr>
          <w:noProof/>
        </w:rPr>
        <w:t xml:space="preserve"> </w:t>
      </w:r>
      <w:r w:rsidR="0032261B" w:rsidRPr="0032261B">
        <w:rPr>
          <w:rFonts w:eastAsiaTheme="majorEastAsia"/>
          <w:noProof/>
        </w:rPr>
        <w:drawing>
          <wp:inline distT="0" distB="0" distL="0" distR="0" wp14:anchorId="43AB1CED" wp14:editId="16819148">
            <wp:extent cx="752580" cy="219106"/>
            <wp:effectExtent l="0" t="0" r="0" b="9525"/>
            <wp:docPr id="68674844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74844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2580" cy="219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2261B">
        <w:rPr>
          <w:noProof/>
        </w:rPr>
        <w:t>, budou takto zúčtované nerealizované kurzové rozdíly označeny</w:t>
      </w:r>
      <w:r w:rsidR="00FA2651">
        <w:rPr>
          <w:noProof/>
        </w:rPr>
        <w:t>, následné sestavy budou připraveny až budou potřebné.</w:t>
      </w:r>
    </w:p>
    <w:p w14:paraId="5AAC268A" w14:textId="516F5D02" w:rsidR="0032261B" w:rsidRPr="0032261B" w:rsidRDefault="0032261B" w:rsidP="003D5643">
      <w:pPr>
        <w:pStyle w:val="Odstavecseseznamem"/>
        <w:numPr>
          <w:ilvl w:val="0"/>
          <w:numId w:val="14"/>
        </w:numPr>
        <w:jc w:val="left"/>
        <w:rPr>
          <w:rFonts w:eastAsiaTheme="majorEastAsia"/>
        </w:rPr>
      </w:pPr>
      <w:r>
        <w:rPr>
          <w:noProof/>
        </w:rPr>
        <w:t xml:space="preserve">Pro správné vykázání obratu ve Výkazu zisku a ztráty jsme přidali položku do účtového rozvrhu pro šestou účtovou třídu, abyste si mohli označit účty, které do obratu dle nových ustanovení zákonů patří. </w:t>
      </w:r>
      <w:r w:rsidR="00AA3233">
        <w:rPr>
          <w:noProof/>
        </w:rPr>
        <w:t xml:space="preserve"> Nyní v update verze 203 se nová položka účtového rozvrhu </w:t>
      </w:r>
      <w:r w:rsidR="00AA3233">
        <w:rPr>
          <w:noProof/>
        </w:rPr>
        <w:drawing>
          <wp:inline distT="0" distB="0" distL="0" distR="0" wp14:anchorId="4553B4E6" wp14:editId="3534B2A6">
            <wp:extent cx="1422400" cy="260350"/>
            <wp:effectExtent l="0" t="0" r="6350" b="6350"/>
            <wp:docPr id="22114007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3233">
        <w:rPr>
          <w:noProof/>
        </w:rPr>
        <w:t xml:space="preserve"> pro 6-tou účtovou třídu vašeho účtového rozvrhu zatrhne. Změny ve výkazu zisku a ztráty budou provedeny později.</w:t>
      </w:r>
    </w:p>
    <w:p w14:paraId="6A9E5C44" w14:textId="77777777" w:rsidR="00DA330A" w:rsidRDefault="0032261B" w:rsidP="00DA330A">
      <w:r>
        <w:rPr>
          <w:rFonts w:eastAsiaTheme="majorEastAsia"/>
        </w:rPr>
        <w:t>Změny pro mzdy budou uveřejněny v průběhu ledna 2024 nejspíše ve verzi 205.</w:t>
      </w:r>
    </w:p>
    <w:p w14:paraId="158060A9" w14:textId="0B5A414B" w:rsidR="00DA330A" w:rsidRDefault="00DA330A" w:rsidP="00DA330A">
      <w:pPr>
        <w:pStyle w:val="Nadpis2"/>
        <w:numPr>
          <w:ilvl w:val="0"/>
          <w:numId w:val="0"/>
        </w:numPr>
      </w:pPr>
      <w:r>
        <w:t>Problémy se změnami sazeb, které budete řešit v roce 2024</w:t>
      </w:r>
    </w:p>
    <w:p w14:paraId="4A5DA4C7" w14:textId="4CE25E50" w:rsidR="001A3563" w:rsidRDefault="00DA330A" w:rsidP="00DA330A">
      <w:pPr>
        <w:pStyle w:val="Nadpis3"/>
        <w:rPr>
          <w:b/>
          <w:bCs/>
        </w:rPr>
      </w:pPr>
      <w:r w:rsidRPr="001A3563">
        <w:rPr>
          <w:b/>
          <w:bCs/>
        </w:rPr>
        <w:t>Přijaté plnění</w:t>
      </w:r>
      <w:r w:rsidRPr="00DA330A">
        <w:rPr>
          <w:b/>
          <w:bCs/>
        </w:rPr>
        <w:t xml:space="preserve"> </w:t>
      </w:r>
      <w:r w:rsidR="00897255">
        <w:rPr>
          <w:b/>
          <w:bCs/>
        </w:rPr>
        <w:t>– došlé faktury</w:t>
      </w:r>
    </w:p>
    <w:p w14:paraId="0849A000" w14:textId="67B92062" w:rsidR="00DA330A" w:rsidRPr="00DA330A" w:rsidRDefault="00000000" w:rsidP="00DA330A">
      <w:pPr>
        <w:pStyle w:val="Nadpis3"/>
        <w:rPr>
          <w:b/>
          <w:bCs/>
        </w:rPr>
      </w:pPr>
      <w:hyperlink r:id="rId11" w:history="1">
        <w:r w:rsidR="00606EB7">
          <w:rPr>
            <w:rStyle w:val="Hypertextovodkaz"/>
          </w:rPr>
          <w:t>V</w:t>
        </w:r>
        <w:r w:rsidR="00DA330A" w:rsidRPr="001A3563">
          <w:rPr>
            <w:rStyle w:val="Hypertextovodkaz"/>
          </w:rPr>
          <w:t>yúčtovací faktury</w:t>
        </w:r>
      </w:hyperlink>
      <w:r w:rsidR="00DA330A" w:rsidRPr="00DA330A">
        <w:rPr>
          <w:b/>
          <w:bCs/>
        </w:rPr>
        <w:t xml:space="preserve"> </w:t>
      </w:r>
      <w:r w:rsidR="00DA330A" w:rsidRPr="001A3563">
        <w:t>na první a druhou sníženou sazbu:</w:t>
      </w:r>
    </w:p>
    <w:p w14:paraId="41C0D1B3" w14:textId="441C3EF2" w:rsidR="003D498B" w:rsidRDefault="00DA330A" w:rsidP="001A3563">
      <w:pPr>
        <w:jc w:val="left"/>
        <w:rPr>
          <w:rFonts w:eastAsiaTheme="majorEastAsia"/>
        </w:rPr>
      </w:pPr>
      <w:r>
        <w:t xml:space="preserve">Obecně </w:t>
      </w:r>
      <w:r>
        <w:rPr>
          <w:rFonts w:eastAsiaTheme="majorEastAsia"/>
        </w:rPr>
        <w:t>doporučujeme zálohy, které při zatrženém účtování musí mít a mají potíže se zaokrouhlením apod. vyúčtovat alternativou tak, že do formuláře přijatého plnění se zadá jen částka základu daně a daně převyšující uhrazené a zdaněné zálohy. Do položky Není</w:t>
      </w:r>
      <w:r w:rsidR="001A3563">
        <w:rPr>
          <w:rFonts w:eastAsiaTheme="majorEastAsia"/>
        </w:rPr>
        <w:t xml:space="preserve"> předmětem DPH </w:t>
      </w:r>
      <w:r w:rsidR="001A3563" w:rsidRPr="001A3563">
        <w:rPr>
          <w:rFonts w:eastAsiaTheme="majorEastAsia"/>
          <w:noProof/>
        </w:rPr>
        <w:drawing>
          <wp:inline distT="0" distB="0" distL="0" distR="0" wp14:anchorId="53077DF1" wp14:editId="61776AA7">
            <wp:extent cx="1190791" cy="362001"/>
            <wp:effectExtent l="0" t="0" r="0" b="0"/>
            <wp:docPr id="51598233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982333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90791" cy="362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A3563">
        <w:rPr>
          <w:rFonts w:eastAsiaTheme="majorEastAsia"/>
        </w:rPr>
        <w:t xml:space="preserve"> vložíte vypočtený zbytek ZD z dokladů na úplatu. Poté přidáte zálohy, u kterých </w:t>
      </w:r>
      <w:r w:rsidR="001A3563" w:rsidRPr="0055522B">
        <w:rPr>
          <w:rFonts w:eastAsiaTheme="majorEastAsia"/>
          <w:b/>
          <w:bCs/>
        </w:rPr>
        <w:t>nebudete zatrhávat</w:t>
      </w:r>
      <w:r w:rsidR="001A3563">
        <w:rPr>
          <w:rFonts w:eastAsiaTheme="majorEastAsia"/>
        </w:rPr>
        <w:t xml:space="preserve"> Účtovat DPH:</w:t>
      </w:r>
      <w:r w:rsidR="001A3563" w:rsidRPr="001A3563">
        <w:rPr>
          <w:rFonts w:eastAsiaTheme="majorEastAsia"/>
          <w:noProof/>
        </w:rPr>
        <w:drawing>
          <wp:inline distT="0" distB="0" distL="0" distR="0" wp14:anchorId="2C532A0B" wp14:editId="0D80AF55">
            <wp:extent cx="4153480" cy="342948"/>
            <wp:effectExtent l="0" t="0" r="0" b="0"/>
            <wp:docPr id="105509286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09286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53480" cy="342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A3563">
        <w:rPr>
          <w:rFonts w:eastAsiaTheme="majorEastAsia"/>
        </w:rPr>
        <w:t xml:space="preserve"> </w:t>
      </w:r>
      <w:r w:rsidR="001A3563" w:rsidRPr="001A3563">
        <w:rPr>
          <w:rFonts w:eastAsiaTheme="majorEastAsia"/>
          <w:noProof/>
        </w:rPr>
        <w:drawing>
          <wp:inline distT="0" distB="0" distL="0" distR="0" wp14:anchorId="2494E643" wp14:editId="430EF98C">
            <wp:extent cx="1860550" cy="252075"/>
            <wp:effectExtent l="0" t="0" r="0" b="0"/>
            <wp:docPr id="208815468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154682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99873" cy="270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0AF912" w14:textId="04CFD78F" w:rsidR="00C527CE" w:rsidRDefault="001A3563" w:rsidP="00C527CE">
      <w:pPr>
        <w:spacing w:line="259" w:lineRule="auto"/>
        <w:jc w:val="left"/>
        <w:rPr>
          <w:noProof/>
        </w:rPr>
      </w:pPr>
      <w:r>
        <w:rPr>
          <w:rFonts w:eastAsiaTheme="majorEastAsia"/>
        </w:rPr>
        <w:t>Pokud by částka vyúčtování byla mínusová (budou vám peníze vracet), pak stejně jako při účtování dobropisů</w:t>
      </w:r>
      <w:r w:rsidR="00C527CE">
        <w:rPr>
          <w:rFonts w:eastAsiaTheme="majorEastAsia"/>
        </w:rPr>
        <w:t xml:space="preserve"> </w:t>
      </w:r>
      <w:r>
        <w:rPr>
          <w:rFonts w:eastAsiaTheme="majorEastAsia"/>
        </w:rPr>
        <w:t>na 1. nebo 2. sníženou sazbu musíte sazby do</w:t>
      </w:r>
      <w:r w:rsidR="00C527CE">
        <w:rPr>
          <w:rFonts w:eastAsiaTheme="majorEastAsia"/>
        </w:rPr>
        <w:t xml:space="preserve"> formuláře přijatého plnění zapsat</w:t>
      </w:r>
      <w:r w:rsidR="00606EB7">
        <w:rPr>
          <w:rFonts w:eastAsiaTheme="majorEastAsia"/>
        </w:rPr>
        <w:t>:</w:t>
      </w:r>
      <w:r w:rsidR="00C527CE" w:rsidRPr="00C527CE">
        <w:rPr>
          <w:noProof/>
        </w:rPr>
        <w:t xml:space="preserve"> </w:t>
      </w:r>
      <w:r w:rsidR="00C527CE" w:rsidRPr="00C527CE">
        <w:rPr>
          <w:noProof/>
        </w:rPr>
        <w:drawing>
          <wp:inline distT="0" distB="0" distL="0" distR="0" wp14:anchorId="0538B4B9" wp14:editId="6B79E237">
            <wp:extent cx="2953162" cy="1086002"/>
            <wp:effectExtent l="0" t="0" r="0" b="0"/>
            <wp:docPr id="136077977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779776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953162" cy="1086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527CE">
        <w:rPr>
          <w:noProof/>
        </w:rPr>
        <w:t xml:space="preserve"> </w:t>
      </w:r>
      <w:r w:rsidR="003F2C7B" w:rsidRPr="003F2C7B">
        <w:rPr>
          <w:b/>
          <w:bCs/>
          <w:noProof/>
        </w:rPr>
        <w:t>jen</w:t>
      </w:r>
      <w:r w:rsidR="003F2C7B">
        <w:rPr>
          <w:noProof/>
        </w:rPr>
        <w:t xml:space="preserve"> </w:t>
      </w:r>
      <w:r w:rsidR="00C527CE" w:rsidRPr="00606EB7">
        <w:rPr>
          <w:b/>
          <w:bCs/>
          <w:noProof/>
        </w:rPr>
        <w:t>mínusové vyúčtování &gt;=r.2024</w:t>
      </w:r>
      <w:r w:rsidR="00C527CE">
        <w:rPr>
          <w:noProof/>
        </w:rPr>
        <w:t>.</w:t>
      </w:r>
    </w:p>
    <w:p w14:paraId="154F9C31" w14:textId="363921FF" w:rsidR="00C527CE" w:rsidRDefault="00C527CE" w:rsidP="00606EB7">
      <w:pPr>
        <w:pStyle w:val="Nadpis3"/>
      </w:pPr>
      <w:r>
        <w:lastRenderedPageBreak/>
        <w:t xml:space="preserve">Přijaté dobropisy s 1. nebo 2. sníženou sazbou DPH </w:t>
      </w:r>
      <w:r w:rsidR="003F2C7B">
        <w:t>pro DUZP menší nebo rovno 2023, tedy</w:t>
      </w:r>
      <w:r>
        <w:t xml:space="preserve"> odpočet 1. nebo 2. snížené sazby DPH z faktury před r. 2024</w:t>
      </w:r>
    </w:p>
    <w:p w14:paraId="754E7B3D" w14:textId="7E5C790E" w:rsidR="00C527CE" w:rsidRDefault="00C527CE" w:rsidP="00FB5733">
      <w:pPr>
        <w:jc w:val="left"/>
        <w:rPr>
          <w:noProof/>
        </w:rPr>
      </w:pPr>
      <w:r>
        <w:t xml:space="preserve">Jak </w:t>
      </w:r>
      <w:r w:rsidR="00B410C3">
        <w:t xml:space="preserve">je </w:t>
      </w:r>
      <w:r>
        <w:t>shora</w:t>
      </w:r>
      <w:r w:rsidR="00B410C3">
        <w:t xml:space="preserve"> uvedeno</w:t>
      </w:r>
      <w:r>
        <w:t xml:space="preserve">, pokud je DUZP &lt;= 2023, nastaví se sazby DPH dle </w:t>
      </w:r>
      <w:r w:rsidR="003F2C7B">
        <w:t xml:space="preserve">roku </w:t>
      </w:r>
      <w:r>
        <w:t>DUZP</w:t>
      </w:r>
      <w:r w:rsidR="00FB5733">
        <w:t xml:space="preserve"> u hlediska tuzemsko:</w:t>
      </w:r>
      <w:r w:rsidR="00FB5733" w:rsidRPr="00FB5733">
        <w:rPr>
          <w:noProof/>
        </w:rPr>
        <w:t xml:space="preserve"> </w:t>
      </w:r>
      <w:r w:rsidR="00FB5733" w:rsidRPr="00FB5733">
        <w:rPr>
          <w:noProof/>
        </w:rPr>
        <w:drawing>
          <wp:inline distT="0" distB="0" distL="0" distR="0" wp14:anchorId="436F1474" wp14:editId="17707C9C">
            <wp:extent cx="5582429" cy="466790"/>
            <wp:effectExtent l="0" t="0" r="0" b="9525"/>
            <wp:docPr id="189392072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3920723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582429" cy="46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9A9B94" w14:textId="308F6C96" w:rsidR="003F2C7B" w:rsidRPr="003F2C7B" w:rsidRDefault="00FB5733" w:rsidP="00FB5733">
      <w:pPr>
        <w:jc w:val="left"/>
        <w:rPr>
          <w:noProof/>
        </w:rPr>
      </w:pPr>
      <w:r>
        <w:rPr>
          <w:noProof/>
        </w:rPr>
        <w:t>Ve výjim</w:t>
      </w:r>
      <w:r w:rsidR="00B410C3">
        <w:rPr>
          <w:noProof/>
        </w:rPr>
        <w:t>e</w:t>
      </w:r>
      <w:r>
        <w:rPr>
          <w:noProof/>
        </w:rPr>
        <w:t>čných případ</w:t>
      </w:r>
      <w:r w:rsidR="00B410C3">
        <w:rPr>
          <w:noProof/>
        </w:rPr>
        <w:t>e</w:t>
      </w:r>
      <w:r>
        <w:rPr>
          <w:noProof/>
        </w:rPr>
        <w:t>ch je možné přepsat sazbu</w:t>
      </w:r>
      <w:r w:rsidR="003F2C7B">
        <w:rPr>
          <w:noProof/>
        </w:rPr>
        <w:t xml:space="preserve">, pokud je sazba 2. snížené daně =0, jsou položky pro zadání ZD a DPH 2. snížené sazby blokované, uvolní se, když sazbu DPH pro 2. sníženou přepíšete. </w:t>
      </w:r>
    </w:p>
    <w:p w14:paraId="4B219A0B" w14:textId="77777777" w:rsidR="00606EB7" w:rsidRPr="00606EB7" w:rsidRDefault="00606EB7" w:rsidP="00606EB7">
      <w:pPr>
        <w:pStyle w:val="Nadpis3"/>
        <w:rPr>
          <w:b/>
          <w:bCs/>
        </w:rPr>
      </w:pPr>
      <w:r w:rsidRPr="00606EB7">
        <w:rPr>
          <w:b/>
          <w:bCs/>
        </w:rPr>
        <w:t>Uskutečněné plnění – fakturace</w:t>
      </w:r>
    </w:p>
    <w:p w14:paraId="3E2C78C3" w14:textId="17A5A593" w:rsidR="00606EB7" w:rsidRPr="003F2C7B" w:rsidRDefault="003F2C7B" w:rsidP="003F2C7B">
      <w:pPr>
        <w:jc w:val="left"/>
        <w:rPr>
          <w:b/>
          <w:bCs/>
          <w:noProof/>
          <w:lang w:val="en-GB"/>
        </w:rPr>
      </w:pPr>
      <w:r w:rsidRPr="003F2C7B">
        <w:rPr>
          <w:b/>
          <w:bCs/>
          <w:noProof/>
          <w:lang w:val="en-GB"/>
        </w:rPr>
        <w:t xml:space="preserve">Vyúčtování s doklady na přijatou </w:t>
      </w:r>
      <w:r w:rsidR="006C429C">
        <w:rPr>
          <w:b/>
          <w:bCs/>
          <w:noProof/>
          <w:lang w:val="en-GB"/>
        </w:rPr>
        <w:t>ú</w:t>
      </w:r>
      <w:r w:rsidRPr="003F2C7B">
        <w:rPr>
          <w:b/>
          <w:bCs/>
          <w:noProof/>
          <w:lang w:val="en-GB"/>
        </w:rPr>
        <w:t>platu z roku 2023:</w:t>
      </w:r>
      <w:r w:rsidRPr="003F2C7B">
        <w:rPr>
          <w:b/>
          <w:bCs/>
          <w:noProof/>
          <w:lang w:val="en-GB"/>
        </w:rPr>
        <w:br/>
      </w:r>
      <w:r w:rsidRPr="003F2C7B">
        <w:rPr>
          <w:noProof/>
          <w:lang w:val="en-GB"/>
        </w:rPr>
        <w:t>Pokud</w:t>
      </w:r>
      <w:r>
        <w:rPr>
          <w:b/>
          <w:bCs/>
          <w:noProof/>
          <w:lang w:val="en-GB"/>
        </w:rPr>
        <w:t xml:space="preserve"> </w:t>
      </w:r>
      <w:r w:rsidRPr="003F2C7B">
        <w:rPr>
          <w:noProof/>
          <w:lang w:val="en-GB"/>
        </w:rPr>
        <w:t xml:space="preserve">je </w:t>
      </w:r>
      <w:r w:rsidR="003D6C8F">
        <w:rPr>
          <w:noProof/>
          <w:lang w:val="en-GB"/>
        </w:rPr>
        <w:t xml:space="preserve">na dokladech na přijatou úplatu </w:t>
      </w:r>
      <w:r w:rsidR="00866B28">
        <w:rPr>
          <w:noProof/>
          <w:lang w:val="en-GB"/>
        </w:rPr>
        <w:t xml:space="preserve">z r. 2023 a méně 1. snížená </w:t>
      </w:r>
      <w:r w:rsidR="003D6C8F">
        <w:rPr>
          <w:noProof/>
          <w:lang w:val="en-GB"/>
        </w:rPr>
        <w:t>sazba</w:t>
      </w:r>
      <w:r w:rsidR="00866B28">
        <w:rPr>
          <w:noProof/>
          <w:lang w:val="en-GB"/>
        </w:rPr>
        <w:t xml:space="preserve">, nebo 2. Snížená sazba, případně obě sazby, při vyúčtování roku 2024 budou </w:t>
      </w:r>
      <w:r w:rsidR="00866B28" w:rsidRPr="009E4714">
        <w:rPr>
          <w:b/>
          <w:bCs/>
          <w:noProof/>
          <w:lang w:val="en-GB"/>
        </w:rPr>
        <w:t>základy daně sečteny</w:t>
      </w:r>
      <w:r w:rsidR="00866B28">
        <w:rPr>
          <w:noProof/>
          <w:lang w:val="en-GB"/>
        </w:rPr>
        <w:t xml:space="preserve">. Pokud je </w:t>
      </w:r>
      <w:r w:rsidR="003D6C8F">
        <w:rPr>
          <w:noProof/>
          <w:lang w:val="en-GB"/>
        </w:rPr>
        <w:t xml:space="preserve">vyúčtování </w:t>
      </w:r>
      <w:r w:rsidR="00866B28">
        <w:rPr>
          <w:noProof/>
          <w:lang w:val="en-GB"/>
        </w:rPr>
        <w:t>vyšší částkou (jde o základy DPH) nebo stejné, pak je z částky převyšující tuto částku vypočten nová základ daně a ten zdaněn novám procentem sazby (snížená sazba 12</w:t>
      </w:r>
      <w:r w:rsidR="00B410C3">
        <w:rPr>
          <w:noProof/>
          <w:lang w:val="en-GB"/>
        </w:rPr>
        <w:t xml:space="preserve"> </w:t>
      </w:r>
      <w:r w:rsidR="00866B28">
        <w:rPr>
          <w:noProof/>
          <w:lang w:val="en-GB"/>
        </w:rPr>
        <w:t>%) novou sazbou (pokud je vyúčtování v základní sazbě – položky přešly do základní sazby 21</w:t>
      </w:r>
      <w:r w:rsidR="00B410C3">
        <w:rPr>
          <w:noProof/>
          <w:lang w:val="en-GB"/>
        </w:rPr>
        <w:t xml:space="preserve"> </w:t>
      </w:r>
      <w:r w:rsidR="00866B28">
        <w:rPr>
          <w:noProof/>
          <w:lang w:val="en-GB"/>
        </w:rPr>
        <w:t>%). V případě, že položky jsou nyní osvobozeny od daně, program postupuje stejně, tedy od zdaněných základů DPH odečte částku z vyúčtování (sazba 0</w:t>
      </w:r>
      <w:r w:rsidR="00B410C3">
        <w:rPr>
          <w:noProof/>
          <w:lang w:val="en-GB"/>
        </w:rPr>
        <w:t xml:space="preserve"> </w:t>
      </w:r>
      <w:r w:rsidR="00866B28">
        <w:rPr>
          <w:noProof/>
          <w:lang w:val="en-GB"/>
        </w:rPr>
        <w:t>%) a osvobodí případný zbytek.</w:t>
      </w:r>
      <w:r w:rsidR="00866B28">
        <w:rPr>
          <w:noProof/>
          <w:lang w:val="en-GB"/>
        </w:rPr>
        <w:br/>
        <w:t xml:space="preserve">Pokud ale </w:t>
      </w:r>
      <w:r w:rsidR="00866B28" w:rsidRPr="00897255">
        <w:rPr>
          <w:b/>
          <w:bCs/>
          <w:noProof/>
          <w:lang w:val="en-GB"/>
        </w:rPr>
        <w:t>částka</w:t>
      </w:r>
      <w:r w:rsidR="00866B28">
        <w:rPr>
          <w:noProof/>
          <w:lang w:val="en-GB"/>
        </w:rPr>
        <w:t xml:space="preserve"> </w:t>
      </w:r>
      <w:r w:rsidR="00866B28" w:rsidRPr="009E4714">
        <w:rPr>
          <w:b/>
          <w:bCs/>
          <w:noProof/>
          <w:lang w:val="en-GB"/>
        </w:rPr>
        <w:t>vyúčtování je mínusová</w:t>
      </w:r>
      <w:r w:rsidR="00866B28">
        <w:rPr>
          <w:noProof/>
          <w:lang w:val="en-GB"/>
        </w:rPr>
        <w:t xml:space="preserve"> (budete vracet peníze), pak program vrátí v původní sazbě jen tehdy, pokud je na zdaněných zálohách jen jedna sazba daně. Pokud je více sazeb, pak je nutné provést </w:t>
      </w:r>
      <w:r w:rsidR="00866B28" w:rsidRPr="009E4714">
        <w:rPr>
          <w:b/>
          <w:bCs/>
          <w:noProof/>
          <w:lang w:val="en-GB"/>
        </w:rPr>
        <w:t>vyúčtování “do nuly”</w:t>
      </w:r>
      <w:r w:rsidR="00866B28">
        <w:rPr>
          <w:noProof/>
          <w:lang w:val="en-GB"/>
        </w:rPr>
        <w:t xml:space="preserve"> a vypořádat </w:t>
      </w:r>
      <w:r w:rsidR="009E4714">
        <w:rPr>
          <w:noProof/>
          <w:lang w:val="en-GB"/>
        </w:rPr>
        <w:t xml:space="preserve">plnění </w:t>
      </w:r>
      <w:r w:rsidR="009E4714" w:rsidRPr="009E4714">
        <w:rPr>
          <w:b/>
          <w:bCs/>
          <w:noProof/>
          <w:lang w:val="en-GB"/>
        </w:rPr>
        <w:t>opravným daňovým dokladem</w:t>
      </w:r>
      <w:r w:rsidR="009E4714">
        <w:rPr>
          <w:noProof/>
          <w:lang w:val="en-GB"/>
        </w:rPr>
        <w:t>. Důvodem je, že progam v tomto případě nemůže vědět, v kolik v které sazbě DPH vrátit.</w:t>
      </w:r>
      <w:r w:rsidR="00866B28">
        <w:rPr>
          <w:noProof/>
          <w:lang w:val="en-GB"/>
        </w:rPr>
        <w:t xml:space="preserve"> </w:t>
      </w:r>
    </w:p>
    <w:p w14:paraId="7CA87585" w14:textId="6B1A9223" w:rsidR="00FB5733" w:rsidRPr="00606EB7" w:rsidRDefault="00000000" w:rsidP="00606EB7">
      <w:pPr>
        <w:pStyle w:val="Nadpis3"/>
        <w:rPr>
          <w:b/>
          <w:bCs/>
          <w:noProof/>
        </w:rPr>
      </w:pPr>
      <w:hyperlink r:id="rId17" w:history="1">
        <w:r w:rsidR="00E82656" w:rsidRPr="00897255">
          <w:rPr>
            <w:rStyle w:val="Hypertextovodkaz"/>
            <w:b/>
            <w:bCs/>
            <w:noProof/>
            <w:lang w:val="en-GB"/>
          </w:rPr>
          <w:t>Kontroln</w:t>
        </w:r>
        <w:r w:rsidR="00E82656" w:rsidRPr="00897255">
          <w:rPr>
            <w:rStyle w:val="Hypertextovodkaz"/>
            <w:b/>
            <w:bCs/>
            <w:noProof/>
          </w:rPr>
          <w:t>í hlášení, daňové přiznání k DPH</w:t>
        </w:r>
      </w:hyperlink>
    </w:p>
    <w:p w14:paraId="20E4B1D1" w14:textId="0D9AB77E" w:rsidR="00E82656" w:rsidRDefault="00897255" w:rsidP="00E82656">
      <w:r>
        <w:t>Z</w:t>
      </w:r>
      <w:r w:rsidR="00E82656">
        <w:t xml:space="preserve">měny </w:t>
      </w:r>
      <w:r>
        <w:t xml:space="preserve">jsou minimální </w:t>
      </w:r>
      <w:r w:rsidR="003F2C7B">
        <w:t>(</w:t>
      </w:r>
      <w:r w:rsidR="00E82656">
        <w:t>popisky</w:t>
      </w:r>
      <w:r>
        <w:t>, drobné úpravy</w:t>
      </w:r>
      <w:r w:rsidR="003F2C7B">
        <w:t>). V</w:t>
      </w:r>
      <w:r w:rsidR="00E82656">
        <w:t> kontrolním hlášení nadále zůstává 2. snížená sazba vzhledem k opravným daňovým dokladům na daňové doklady &lt;= r. 2023 a možnosti uplatnění DPH 3 roky. Formuláře k tisku a XML pro importy budou změněny během ledna, aby byly připraveny pro podání během února.</w:t>
      </w:r>
    </w:p>
    <w:p w14:paraId="1A35977A" w14:textId="1C081769" w:rsidR="00606EB7" w:rsidRPr="00606EB7" w:rsidRDefault="0055522B" w:rsidP="0055522B">
      <w:pPr>
        <w:pStyle w:val="Nadpis2"/>
        <w:numPr>
          <w:ilvl w:val="0"/>
          <w:numId w:val="0"/>
        </w:numPr>
        <w:ind w:left="426" w:hanging="426"/>
      </w:pPr>
      <w:r>
        <w:t>Sklady – číselník skladových položek a služeb</w:t>
      </w:r>
    </w:p>
    <w:p w14:paraId="415D17D5" w14:textId="77777777" w:rsidR="0055522B" w:rsidRDefault="0055522B" w:rsidP="0055522B">
      <w:pPr>
        <w:rPr>
          <w:rFonts w:eastAsia="Times New Roman"/>
        </w:rPr>
      </w:pPr>
      <w:r>
        <w:rPr>
          <w:rFonts w:eastAsia="Times New Roman"/>
          <w:b/>
          <w:bCs/>
        </w:rPr>
        <w:t>jedná se o dvě funkce, které by měly být použity v tomto pořadí:</w:t>
      </w:r>
    </w:p>
    <w:p w14:paraId="2B682431" w14:textId="0CB0A7C1" w:rsidR="0055522B" w:rsidRDefault="0055522B" w:rsidP="0055522B">
      <w:pPr>
        <w:rPr>
          <w:rFonts w:eastAsia="Times New Roman"/>
        </w:rPr>
      </w:pPr>
      <w:r>
        <w:rPr>
          <w:rFonts w:eastAsia="Times New Roman"/>
        </w:rPr>
        <w:t>1. přesun skladových položek do nové sazby daně (snížená -&gt; základní, 2. snížená -&gt; 0</w:t>
      </w:r>
      <w:r w:rsidR="00B410C3">
        <w:rPr>
          <w:rFonts w:eastAsia="Times New Roman"/>
        </w:rPr>
        <w:t xml:space="preserve"> </w:t>
      </w:r>
      <w:r>
        <w:rPr>
          <w:rFonts w:eastAsia="Times New Roman"/>
        </w:rPr>
        <w:t>% apod.)</w:t>
      </w:r>
      <w:r>
        <w:rPr>
          <w:rFonts w:eastAsia="Times New Roman"/>
        </w:rPr>
        <w:br/>
        <w:t>2. přepočet prodejních cen s ohledem na změnu výše snížené sazby (15</w:t>
      </w:r>
      <w:r w:rsidR="00B410C3">
        <w:rPr>
          <w:rFonts w:eastAsia="Times New Roman"/>
        </w:rPr>
        <w:t xml:space="preserve"> </w:t>
      </w:r>
      <w:r>
        <w:rPr>
          <w:rFonts w:eastAsia="Times New Roman"/>
        </w:rPr>
        <w:t>% -&gt; 12</w:t>
      </w:r>
      <w:r w:rsidR="00B410C3">
        <w:rPr>
          <w:rFonts w:eastAsia="Times New Roman"/>
        </w:rPr>
        <w:t xml:space="preserve"> </w:t>
      </w:r>
      <w:r>
        <w:rPr>
          <w:rFonts w:eastAsia="Times New Roman"/>
        </w:rPr>
        <w:t>%) a ukončení platnosti 2. snížené sazby (10</w:t>
      </w:r>
      <w:r w:rsidR="00B410C3">
        <w:rPr>
          <w:rFonts w:eastAsia="Times New Roman"/>
        </w:rPr>
        <w:t xml:space="preserve"> </w:t>
      </w:r>
      <w:r>
        <w:rPr>
          <w:rFonts w:eastAsia="Times New Roman"/>
        </w:rPr>
        <w:t>% -&gt; 12</w:t>
      </w:r>
      <w:r w:rsidR="00B410C3">
        <w:rPr>
          <w:rFonts w:eastAsia="Times New Roman"/>
        </w:rPr>
        <w:t xml:space="preserve"> </w:t>
      </w:r>
      <w:r>
        <w:rPr>
          <w:rFonts w:eastAsia="Times New Roman"/>
        </w:rPr>
        <w:t xml:space="preserve">%) </w:t>
      </w:r>
    </w:p>
    <w:p w14:paraId="55412F29" w14:textId="70205AFF" w:rsidR="0055522B" w:rsidRPr="0055522B" w:rsidRDefault="0055522B" w:rsidP="0055522B">
      <w:pPr>
        <w:pStyle w:val="Nadpis3"/>
        <w:rPr>
          <w:rFonts w:eastAsia="Times New Roman"/>
          <w:b/>
          <w:bCs/>
        </w:rPr>
      </w:pPr>
      <w:r w:rsidRPr="0055522B">
        <w:rPr>
          <w:rFonts w:eastAsia="Times New Roman"/>
          <w:b/>
          <w:bCs/>
        </w:rPr>
        <w:t>Ad 1) přesun skladových položek do nové sazby daně (snížená -&gt; základní, 2. snížená -&gt; 0</w:t>
      </w:r>
      <w:r w:rsidR="00B410C3">
        <w:rPr>
          <w:rFonts w:eastAsia="Times New Roman"/>
          <w:b/>
          <w:bCs/>
        </w:rPr>
        <w:t xml:space="preserve"> </w:t>
      </w:r>
      <w:r w:rsidRPr="0055522B">
        <w:rPr>
          <w:rFonts w:eastAsia="Times New Roman"/>
          <w:b/>
          <w:bCs/>
        </w:rPr>
        <w:t>% apod.)</w:t>
      </w:r>
    </w:p>
    <w:p w14:paraId="40BB1D0C" w14:textId="28F971A3" w:rsidR="0055522B" w:rsidRDefault="0055522B" w:rsidP="00344F34">
      <w:pPr>
        <w:jc w:val="left"/>
        <w:rPr>
          <w:rFonts w:eastAsia="Times New Roman"/>
        </w:rPr>
      </w:pPr>
      <w:r>
        <w:rPr>
          <w:rFonts w:eastAsia="Times New Roman"/>
        </w:rPr>
        <w:t>funkce se spouští přímo nad označenými položkami v prohlížeči skladových položek</w:t>
      </w:r>
      <w:r>
        <w:rPr>
          <w:rFonts w:eastAsia="Times New Roman"/>
        </w:rPr>
        <w:br/>
        <w:t xml:space="preserve">uživatel zvolí "novou" sazbu DPH, zadá odpovídající sazbu (pokud se liší od aktuální) a vybere tabulky, ve </w:t>
      </w:r>
      <w:r>
        <w:rPr>
          <w:rFonts w:eastAsia="Times New Roman"/>
        </w:rPr>
        <w:lastRenderedPageBreak/>
        <w:t>kterých má dojít k</w:t>
      </w:r>
      <w:r w:rsidR="00344F34">
        <w:rPr>
          <w:rFonts w:eastAsia="Times New Roman"/>
        </w:rPr>
        <w:t> </w:t>
      </w:r>
      <w:r>
        <w:rPr>
          <w:rFonts w:eastAsia="Times New Roman"/>
        </w:rPr>
        <w:t>přepočtu</w:t>
      </w:r>
      <w:r w:rsidR="00344F34">
        <w:rPr>
          <w:rFonts w:eastAsia="Times New Roman"/>
        </w:rPr>
        <w:t>:</w:t>
      </w:r>
      <w:r>
        <w:rPr>
          <w:rFonts w:eastAsia="Times New Roman"/>
        </w:rPr>
        <w:br/>
      </w:r>
      <w:r>
        <w:rPr>
          <w:rFonts w:eastAsia="Times New Roman"/>
          <w:noProof/>
        </w:rPr>
        <w:drawing>
          <wp:inline distT="0" distB="0" distL="0" distR="0" wp14:anchorId="7730CC3F" wp14:editId="54DC55E5">
            <wp:extent cx="6121400" cy="3032125"/>
            <wp:effectExtent l="0" t="0" r="0" b="0"/>
            <wp:docPr id="1380972460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303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563770" w14:textId="08F29CAE" w:rsidR="0055522B" w:rsidRPr="0055522B" w:rsidRDefault="0055522B" w:rsidP="0055522B">
      <w:pPr>
        <w:pStyle w:val="Nadpis3"/>
        <w:rPr>
          <w:rFonts w:eastAsia="Times New Roman"/>
          <w:b/>
          <w:bCs/>
        </w:rPr>
      </w:pPr>
      <w:r>
        <w:rPr>
          <w:rFonts w:eastAsia="Times New Roman"/>
        </w:rPr>
        <w:br/>
      </w:r>
      <w:r>
        <w:rPr>
          <w:rFonts w:eastAsia="Times New Roman"/>
        </w:rPr>
        <w:br/>
      </w:r>
      <w:r w:rsidRPr="0055522B">
        <w:rPr>
          <w:rFonts w:eastAsia="Times New Roman"/>
          <w:b/>
          <w:bCs/>
        </w:rPr>
        <w:t>Ad 2) přepočet prodejních cen s ohledem na změnu výše snížené sazby (15</w:t>
      </w:r>
      <w:r w:rsidR="00B410C3">
        <w:rPr>
          <w:rFonts w:eastAsia="Times New Roman"/>
          <w:b/>
          <w:bCs/>
        </w:rPr>
        <w:t xml:space="preserve"> </w:t>
      </w:r>
      <w:r w:rsidRPr="0055522B">
        <w:rPr>
          <w:rFonts w:eastAsia="Times New Roman"/>
          <w:b/>
          <w:bCs/>
        </w:rPr>
        <w:t>% -&gt; 12</w:t>
      </w:r>
      <w:r w:rsidR="00B410C3">
        <w:rPr>
          <w:rFonts w:eastAsia="Times New Roman"/>
          <w:b/>
          <w:bCs/>
        </w:rPr>
        <w:t xml:space="preserve"> </w:t>
      </w:r>
      <w:r w:rsidRPr="0055522B">
        <w:rPr>
          <w:rFonts w:eastAsia="Times New Roman"/>
          <w:b/>
          <w:bCs/>
        </w:rPr>
        <w:t>%) a ukončení platnosti 2. snížené sazby (10</w:t>
      </w:r>
      <w:r w:rsidR="00B410C3">
        <w:rPr>
          <w:rFonts w:eastAsia="Times New Roman"/>
          <w:b/>
          <w:bCs/>
        </w:rPr>
        <w:t xml:space="preserve"> </w:t>
      </w:r>
      <w:r w:rsidRPr="0055522B">
        <w:rPr>
          <w:rFonts w:eastAsia="Times New Roman"/>
          <w:b/>
          <w:bCs/>
        </w:rPr>
        <w:t>% -&gt; 12</w:t>
      </w:r>
      <w:r w:rsidR="00B410C3">
        <w:rPr>
          <w:rFonts w:eastAsia="Times New Roman"/>
          <w:b/>
          <w:bCs/>
        </w:rPr>
        <w:t xml:space="preserve"> </w:t>
      </w:r>
      <w:r w:rsidRPr="0055522B">
        <w:rPr>
          <w:rFonts w:eastAsia="Times New Roman"/>
          <w:b/>
          <w:bCs/>
        </w:rPr>
        <w:t xml:space="preserve">%) </w:t>
      </w:r>
    </w:p>
    <w:p w14:paraId="3799BAF9" w14:textId="0C1B47E1" w:rsidR="0055522B" w:rsidRDefault="0055522B" w:rsidP="0055522B">
      <w:pPr>
        <w:jc w:val="left"/>
        <w:rPr>
          <w:rFonts w:eastAsia="Times New Roman"/>
        </w:rPr>
      </w:pPr>
      <w:r>
        <w:rPr>
          <w:rFonts w:eastAsia="Times New Roman"/>
        </w:rPr>
        <w:t>funkce se volá z menu "nástroje/přepočet cen":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noProof/>
        </w:rPr>
        <w:drawing>
          <wp:inline distT="0" distB="0" distL="0" distR="0" wp14:anchorId="26187C62" wp14:editId="67DE42FB">
            <wp:extent cx="3270250" cy="1670050"/>
            <wp:effectExtent l="0" t="0" r="6350" b="6350"/>
            <wp:docPr id="1558390197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 r:link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250" cy="167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</w:rPr>
        <w:br/>
      </w:r>
      <w:r>
        <w:rPr>
          <w:rFonts w:eastAsia="Times New Roman"/>
          <w:noProof/>
        </w:rPr>
        <w:drawing>
          <wp:inline distT="0" distB="0" distL="0" distR="0" wp14:anchorId="146879DF" wp14:editId="1210F0C6">
            <wp:extent cx="2844975" cy="1384300"/>
            <wp:effectExtent l="0" t="0" r="0" b="6350"/>
            <wp:docPr id="134837868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" r:link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686" cy="1386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</w:rPr>
        <w:br/>
        <w:t xml:space="preserve">Uživatel zvolí tabulky, ve kterých má dojít k přepočtu cen s ohledem na změnu snížené sazby a ukončení </w:t>
      </w:r>
      <w:r>
        <w:rPr>
          <w:rFonts w:eastAsia="Times New Roman"/>
        </w:rPr>
        <w:lastRenderedPageBreak/>
        <w:t>platnosti 2. snížené sazby:</w:t>
      </w:r>
      <w:r>
        <w:rPr>
          <w:rFonts w:eastAsia="Times New Roman"/>
        </w:rPr>
        <w:br/>
      </w:r>
      <w:r>
        <w:rPr>
          <w:rFonts w:eastAsia="Times New Roman"/>
          <w:noProof/>
        </w:rPr>
        <w:drawing>
          <wp:inline distT="0" distB="0" distL="0" distR="0" wp14:anchorId="07181151" wp14:editId="70737A61">
            <wp:extent cx="6121400" cy="4759960"/>
            <wp:effectExtent l="0" t="0" r="0" b="2540"/>
            <wp:docPr id="59324441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4" r:link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475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2DB59C" w14:textId="77777777" w:rsidR="00DA330A" w:rsidRDefault="00DA330A" w:rsidP="0032261B">
      <w:pPr>
        <w:jc w:val="left"/>
        <w:rPr>
          <w:rFonts w:eastAsiaTheme="majorEastAsia"/>
        </w:rPr>
      </w:pPr>
    </w:p>
    <w:p w14:paraId="7E13DD5B" w14:textId="67CB6768" w:rsidR="0055522B" w:rsidRDefault="00000000" w:rsidP="0032261B">
      <w:pPr>
        <w:jc w:val="left"/>
        <w:rPr>
          <w:rFonts w:eastAsiaTheme="majorEastAsia"/>
        </w:rPr>
      </w:pPr>
      <w:hyperlink r:id="rId26" w:history="1">
        <w:r w:rsidR="00344F34" w:rsidRPr="00344F34">
          <w:rPr>
            <w:rStyle w:val="Hypertextovodkaz"/>
            <w:rFonts w:eastAsiaTheme="majorEastAsia"/>
          </w:rPr>
          <w:t>Ukončení roku 2023 a přechod na rok 2024 – účetnictví, sklady.</w:t>
        </w:r>
      </w:hyperlink>
    </w:p>
    <w:p w14:paraId="6F92BC4C" w14:textId="77777777" w:rsidR="0055522B" w:rsidRDefault="0055522B" w:rsidP="0032261B">
      <w:pPr>
        <w:jc w:val="left"/>
        <w:rPr>
          <w:rFonts w:eastAsiaTheme="majorEastAsia"/>
        </w:rPr>
      </w:pPr>
    </w:p>
    <w:p w14:paraId="4068E22D" w14:textId="77777777" w:rsidR="0055522B" w:rsidRPr="0032261B" w:rsidRDefault="0055522B" w:rsidP="0032261B">
      <w:pPr>
        <w:jc w:val="left"/>
        <w:rPr>
          <w:rFonts w:eastAsiaTheme="majorEastAsia"/>
        </w:rPr>
      </w:pPr>
    </w:p>
    <w:p w14:paraId="774C403F" w14:textId="77777777" w:rsidR="0055522B" w:rsidRDefault="0064671D" w:rsidP="0055522B">
      <w:pPr>
        <w:pStyle w:val="Podnadpis"/>
        <w:spacing w:after="40"/>
        <w:jc w:val="left"/>
        <w:rPr>
          <w:b/>
        </w:rPr>
      </w:pPr>
      <w:r w:rsidRPr="00E942F6">
        <w:rPr>
          <w:b/>
        </w:rPr>
        <w:t>Do roku 20</w:t>
      </w:r>
      <w:r>
        <w:rPr>
          <w:b/>
        </w:rPr>
        <w:t>2</w:t>
      </w:r>
      <w:r w:rsidR="009F777C">
        <w:rPr>
          <w:b/>
        </w:rPr>
        <w:t>4</w:t>
      </w:r>
      <w:r w:rsidRPr="00E942F6">
        <w:rPr>
          <w:b/>
        </w:rPr>
        <w:t xml:space="preserve"> přejeme všem uživatelům aplikací společnost</w:t>
      </w:r>
      <w:r>
        <w:rPr>
          <w:b/>
        </w:rPr>
        <w:t>í</w:t>
      </w:r>
      <w:r w:rsidRPr="00E942F6">
        <w:rPr>
          <w:b/>
        </w:rPr>
        <w:t xml:space="preserve"> Vision</w:t>
      </w:r>
      <w:r w:rsidR="00F86183">
        <w:rPr>
          <w:b/>
        </w:rPr>
        <w:t xml:space="preserve"> </w:t>
      </w:r>
      <w:r w:rsidRPr="00E942F6">
        <w:rPr>
          <w:b/>
        </w:rPr>
        <w:t>hodně štěstí, pohody a stále dobr</w:t>
      </w:r>
      <w:r>
        <w:rPr>
          <w:b/>
        </w:rPr>
        <w:t>ou</w:t>
      </w:r>
      <w:r w:rsidRPr="00E942F6">
        <w:rPr>
          <w:b/>
        </w:rPr>
        <w:t xml:space="preserve"> nálad</w:t>
      </w:r>
      <w:r>
        <w:rPr>
          <w:b/>
        </w:rPr>
        <w:t>u</w:t>
      </w:r>
      <w:r w:rsidRPr="00E942F6">
        <w:rPr>
          <w:b/>
        </w:rPr>
        <w:t>.</w:t>
      </w:r>
    </w:p>
    <w:p w14:paraId="50FA6B2A" w14:textId="12B9A71A" w:rsidR="00F86183" w:rsidRPr="0055522B" w:rsidRDefault="0055522B" w:rsidP="0055522B">
      <w:pPr>
        <w:pStyle w:val="Podnadpis"/>
        <w:spacing w:after="40"/>
        <w:jc w:val="right"/>
        <w:rPr>
          <w:b/>
        </w:rPr>
      </w:pPr>
      <w:r>
        <w:rPr>
          <w:b/>
        </w:rPr>
        <w:br/>
      </w:r>
      <w:r w:rsidR="00F86183">
        <w:t>Tým Vision software s.r.o.</w:t>
      </w:r>
    </w:p>
    <w:p w14:paraId="1B9B4B44" w14:textId="41CF13CC" w:rsidR="009F777C" w:rsidRPr="009F777C" w:rsidRDefault="009F777C" w:rsidP="009F777C">
      <w:pPr>
        <w:tabs>
          <w:tab w:val="left" w:pos="930"/>
        </w:tabs>
      </w:pPr>
    </w:p>
    <w:sectPr w:rsidR="009F777C" w:rsidRPr="009F777C" w:rsidSect="00A62576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6" w:h="16838"/>
      <w:pgMar w:top="2440" w:right="1133" w:bottom="1135" w:left="1133" w:header="708" w:footer="27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04969" w14:textId="77777777" w:rsidR="009465E8" w:rsidRDefault="009465E8" w:rsidP="00D72364">
      <w:pPr>
        <w:spacing w:after="0" w:line="240" w:lineRule="auto"/>
      </w:pPr>
      <w:r>
        <w:separator/>
      </w:r>
    </w:p>
  </w:endnote>
  <w:endnote w:type="continuationSeparator" w:id="0">
    <w:p w14:paraId="45F75E4C" w14:textId="77777777" w:rsidR="009465E8" w:rsidRDefault="009465E8" w:rsidP="00D72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13288" w14:textId="77777777" w:rsidR="002E4F17" w:rsidRDefault="002E4F1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81C92" w14:textId="4C3CD38C" w:rsidR="009F777C" w:rsidRDefault="009F777C" w:rsidP="009F777C">
    <w:pPr>
      <w:pStyle w:val="Zpat"/>
      <w:tabs>
        <w:tab w:val="clear" w:pos="9072"/>
        <w:tab w:val="left" w:pos="4536"/>
        <w:tab w:val="left" w:pos="6521"/>
        <w:tab w:val="left" w:pos="8364"/>
      </w:tabs>
      <w:ind w:left="-851" w:right="-851"/>
      <w:rPr>
        <w:rFonts w:ascii="Tahoma" w:hAnsi="Tahoma" w:cs="Tahoma"/>
        <w:color w:val="0046BB"/>
        <w:sz w:val="15"/>
        <w:szCs w:val="15"/>
      </w:rPr>
    </w:pPr>
    <w:r>
      <w:rPr>
        <w:rFonts w:ascii="Tahoma" w:hAnsi="Tahoma" w:cs="Tahoma"/>
        <w:color w:val="0046BB"/>
        <w:sz w:val="15"/>
        <w:szCs w:val="15"/>
      </w:rPr>
      <w:t>Vision software s.r.o.</w:t>
    </w:r>
    <w:r>
      <w:rPr>
        <w:rFonts w:ascii="Tahoma" w:hAnsi="Tahoma" w:cs="Tahoma"/>
        <w:color w:val="0046BB"/>
        <w:sz w:val="15"/>
        <w:szCs w:val="15"/>
      </w:rPr>
      <w:tab/>
    </w:r>
    <w:r>
      <w:rPr>
        <w:rFonts w:ascii="Tahoma" w:hAnsi="Tahoma" w:cs="Tahoma"/>
        <w:color w:val="0046BB"/>
        <w:sz w:val="15"/>
        <w:szCs w:val="15"/>
      </w:rPr>
      <w:tab/>
      <w:t>Vision software s.r.o.</w:t>
    </w:r>
  </w:p>
  <w:p w14:paraId="1E4954E0" w14:textId="46DF243B" w:rsidR="009F777C" w:rsidRDefault="009F777C" w:rsidP="0097689C">
    <w:pPr>
      <w:pStyle w:val="Zpat"/>
      <w:tabs>
        <w:tab w:val="clear" w:pos="9072"/>
        <w:tab w:val="left" w:pos="4536"/>
        <w:tab w:val="left" w:pos="6521"/>
        <w:tab w:val="left" w:pos="8364"/>
      </w:tabs>
      <w:ind w:left="-851" w:right="-851"/>
      <w:rPr>
        <w:rFonts w:ascii="Tahoma" w:hAnsi="Tahoma" w:cs="Tahoma"/>
        <w:color w:val="0046BB"/>
        <w:sz w:val="15"/>
        <w:szCs w:val="15"/>
      </w:rPr>
    </w:pPr>
    <w:r>
      <w:rPr>
        <w:rFonts w:ascii="Tahoma" w:hAnsi="Tahoma" w:cs="Tahoma"/>
        <w:color w:val="0046BB"/>
        <w:sz w:val="15"/>
        <w:szCs w:val="15"/>
      </w:rPr>
      <w:t>Střední novosadská 16/32</w:t>
    </w:r>
    <w:r>
      <w:rPr>
        <w:rFonts w:ascii="Tahoma" w:hAnsi="Tahoma" w:cs="Tahoma"/>
        <w:color w:val="0046BB"/>
        <w:sz w:val="15"/>
        <w:szCs w:val="15"/>
      </w:rPr>
      <w:tab/>
    </w:r>
    <w:r>
      <w:rPr>
        <w:rFonts w:ascii="Tahoma" w:hAnsi="Tahoma" w:cs="Tahoma"/>
        <w:color w:val="0046BB"/>
        <w:sz w:val="15"/>
        <w:szCs w:val="15"/>
      </w:rPr>
      <w:tab/>
      <w:t xml:space="preserve">Obrovského </w:t>
    </w:r>
    <w:r w:rsidR="00DA5AE9">
      <w:rPr>
        <w:rFonts w:ascii="Tahoma" w:hAnsi="Tahoma" w:cs="Tahoma"/>
        <w:color w:val="0046BB"/>
        <w:sz w:val="15"/>
        <w:szCs w:val="15"/>
      </w:rPr>
      <w:t>418</w:t>
    </w:r>
  </w:p>
  <w:p w14:paraId="65015A91" w14:textId="3CE11CCB" w:rsidR="009F777C" w:rsidRPr="004D0B97" w:rsidRDefault="009F777C" w:rsidP="0097689C">
    <w:pPr>
      <w:pStyle w:val="Zpat"/>
      <w:tabs>
        <w:tab w:val="clear" w:pos="9072"/>
        <w:tab w:val="left" w:pos="4536"/>
        <w:tab w:val="left" w:pos="6521"/>
        <w:tab w:val="left" w:pos="8364"/>
      </w:tabs>
      <w:ind w:left="-851" w:right="-851"/>
      <w:rPr>
        <w:rFonts w:ascii="Tahoma" w:hAnsi="Tahoma" w:cs="Tahoma"/>
        <w:color w:val="0046BB"/>
        <w:sz w:val="15"/>
        <w:szCs w:val="15"/>
      </w:rPr>
    </w:pPr>
    <w:r>
      <w:rPr>
        <w:rFonts w:ascii="Tahoma" w:hAnsi="Tahoma" w:cs="Tahoma"/>
        <w:color w:val="0046BB"/>
        <w:sz w:val="15"/>
        <w:szCs w:val="15"/>
      </w:rPr>
      <w:t>Nové Sady</w:t>
    </w:r>
    <w:r w:rsidR="002E4F17">
      <w:rPr>
        <w:rFonts w:ascii="Tahoma" w:hAnsi="Tahoma" w:cs="Tahoma"/>
        <w:color w:val="0046BB"/>
        <w:sz w:val="15"/>
        <w:szCs w:val="15"/>
      </w:rPr>
      <w:t>,</w:t>
    </w:r>
    <w:r>
      <w:rPr>
        <w:rFonts w:ascii="Tahoma" w:hAnsi="Tahoma" w:cs="Tahoma"/>
        <w:color w:val="0046BB"/>
        <w:sz w:val="15"/>
        <w:szCs w:val="15"/>
      </w:rPr>
      <w:t xml:space="preserve"> 779 00</w:t>
    </w:r>
    <w:r w:rsidR="002E4F17">
      <w:rPr>
        <w:rFonts w:ascii="Tahoma" w:hAnsi="Tahoma" w:cs="Tahoma"/>
        <w:color w:val="0046BB"/>
        <w:sz w:val="15"/>
        <w:szCs w:val="15"/>
      </w:rPr>
      <w:t>,</w:t>
    </w:r>
    <w:r>
      <w:rPr>
        <w:rFonts w:ascii="Tahoma" w:hAnsi="Tahoma" w:cs="Tahoma"/>
        <w:color w:val="0046BB"/>
        <w:sz w:val="15"/>
        <w:szCs w:val="15"/>
      </w:rPr>
      <w:t xml:space="preserve"> Olomouc</w:t>
    </w:r>
    <w:r w:rsidR="00DA5AE9">
      <w:rPr>
        <w:rFonts w:ascii="Tahoma" w:hAnsi="Tahoma" w:cs="Tahoma"/>
        <w:color w:val="0046BB"/>
        <w:sz w:val="15"/>
        <w:szCs w:val="15"/>
      </w:rPr>
      <w:tab/>
    </w:r>
    <w:r w:rsidR="00DA5AE9">
      <w:rPr>
        <w:rFonts w:ascii="Tahoma" w:hAnsi="Tahoma" w:cs="Tahoma"/>
        <w:color w:val="0046BB"/>
        <w:sz w:val="15"/>
        <w:szCs w:val="15"/>
      </w:rPr>
      <w:tab/>
      <w:t>Chodov</w:t>
    </w:r>
    <w:r w:rsidR="002E4F17">
      <w:rPr>
        <w:rFonts w:ascii="Tahoma" w:hAnsi="Tahoma" w:cs="Tahoma"/>
        <w:color w:val="0046BB"/>
        <w:sz w:val="15"/>
        <w:szCs w:val="15"/>
      </w:rPr>
      <w:t>, 141 00, Praha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DDF62" w14:textId="77777777" w:rsidR="002E4F17" w:rsidRDefault="002E4F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1381D" w14:textId="77777777" w:rsidR="009465E8" w:rsidRDefault="009465E8" w:rsidP="00D72364">
      <w:pPr>
        <w:spacing w:after="0" w:line="240" w:lineRule="auto"/>
      </w:pPr>
      <w:r>
        <w:separator/>
      </w:r>
    </w:p>
  </w:footnote>
  <w:footnote w:type="continuationSeparator" w:id="0">
    <w:p w14:paraId="03E03037" w14:textId="77777777" w:rsidR="009465E8" w:rsidRDefault="009465E8" w:rsidP="00D72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AA7B0" w14:textId="77777777" w:rsidR="002E4F17" w:rsidRDefault="002E4F1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33254" w14:textId="58A807CA" w:rsidR="00D72364" w:rsidRDefault="00620679">
    <w:pPr>
      <w:pStyle w:val="Zhlav"/>
    </w:pPr>
    <w:r>
      <w:rPr>
        <w:noProof/>
      </w:rPr>
      <w:drawing>
        <wp:anchor distT="0" distB="0" distL="114300" distR="114300" simplePos="0" relativeHeight="251658240" behindDoc="1" locked="1" layoutInCell="1" allowOverlap="0" wp14:anchorId="413FC57F" wp14:editId="38DCA9C4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7455" cy="1388110"/>
          <wp:effectExtent l="0" t="0" r="4445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570" cy="138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25400" w14:textId="77777777" w:rsidR="002E4F17" w:rsidRDefault="002E4F1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2F11"/>
    <w:multiLevelType w:val="hybridMultilevel"/>
    <w:tmpl w:val="CD7A42BA"/>
    <w:lvl w:ilvl="0" w:tplc="54CC7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3E0"/>
        <w:sz w:val="3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FEA93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0017B0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95929"/>
    <w:multiLevelType w:val="hybridMultilevel"/>
    <w:tmpl w:val="6CD6E964"/>
    <w:lvl w:ilvl="0" w:tplc="54CC7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3E0"/>
        <w:sz w:val="3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9B4D83"/>
    <w:multiLevelType w:val="hybridMultilevel"/>
    <w:tmpl w:val="5A7255D2"/>
    <w:lvl w:ilvl="0" w:tplc="54CC7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3E0"/>
        <w:sz w:val="3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DACE5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054AB8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C2852"/>
    <w:multiLevelType w:val="hybridMultilevel"/>
    <w:tmpl w:val="30C8E9C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D547A75"/>
    <w:multiLevelType w:val="hybridMultilevel"/>
    <w:tmpl w:val="C8FAAECE"/>
    <w:lvl w:ilvl="0" w:tplc="54CC7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3E0"/>
        <w:sz w:val="3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A43FAC"/>
    <w:multiLevelType w:val="hybridMultilevel"/>
    <w:tmpl w:val="6E7860FC"/>
    <w:lvl w:ilvl="0" w:tplc="62048792">
      <w:numFmt w:val="bullet"/>
      <w:lvlText w:val="-"/>
      <w:lvlJc w:val="left"/>
      <w:pPr>
        <w:ind w:left="360" w:hanging="360"/>
      </w:pPr>
      <w:rPr>
        <w:rFonts w:ascii="Calibri Light" w:eastAsiaTheme="majorEastAsia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7D7566A"/>
    <w:multiLevelType w:val="hybridMultilevel"/>
    <w:tmpl w:val="AFEA211E"/>
    <w:lvl w:ilvl="0" w:tplc="54CC7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3E0"/>
        <w:sz w:val="32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A97CF1"/>
    <w:multiLevelType w:val="hybridMultilevel"/>
    <w:tmpl w:val="1B7CD468"/>
    <w:lvl w:ilvl="0" w:tplc="54CC7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3E0"/>
        <w:sz w:val="32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E64686"/>
    <w:multiLevelType w:val="hybridMultilevel"/>
    <w:tmpl w:val="A6E29FBA"/>
    <w:lvl w:ilvl="0" w:tplc="54CC7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3E0"/>
        <w:sz w:val="3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CE0EA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0A0A47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CD1B22"/>
    <w:multiLevelType w:val="hybridMultilevel"/>
    <w:tmpl w:val="456A44D6"/>
    <w:lvl w:ilvl="0" w:tplc="54CC7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3E0"/>
        <w:sz w:val="3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3898E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497668"/>
    <w:multiLevelType w:val="hybridMultilevel"/>
    <w:tmpl w:val="653627E4"/>
    <w:lvl w:ilvl="0" w:tplc="8A348B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3E0"/>
        <w:sz w:val="28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621B10"/>
    <w:multiLevelType w:val="hybridMultilevel"/>
    <w:tmpl w:val="6E38E4F0"/>
    <w:lvl w:ilvl="0" w:tplc="88C42790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007B90"/>
    <w:multiLevelType w:val="hybridMultilevel"/>
    <w:tmpl w:val="169CCA4C"/>
    <w:lvl w:ilvl="0" w:tplc="54CC7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3E0"/>
        <w:sz w:val="3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744A6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0E6C17"/>
    <w:multiLevelType w:val="hybridMultilevel"/>
    <w:tmpl w:val="DC7E8E72"/>
    <w:lvl w:ilvl="0" w:tplc="54CC7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3E0"/>
        <w:sz w:val="3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745169">
    <w:abstractNumId w:val="4"/>
  </w:num>
  <w:num w:numId="2" w16cid:durableId="686711315">
    <w:abstractNumId w:val="10"/>
  </w:num>
  <w:num w:numId="3" w16cid:durableId="2024242172">
    <w:abstractNumId w:val="6"/>
  </w:num>
  <w:num w:numId="4" w16cid:durableId="772091680">
    <w:abstractNumId w:val="7"/>
  </w:num>
  <w:num w:numId="5" w16cid:durableId="1977567528">
    <w:abstractNumId w:val="13"/>
  </w:num>
  <w:num w:numId="6" w16cid:durableId="1261332076">
    <w:abstractNumId w:val="1"/>
  </w:num>
  <w:num w:numId="7" w16cid:durableId="1213539902">
    <w:abstractNumId w:val="2"/>
  </w:num>
  <w:num w:numId="8" w16cid:durableId="1720939038">
    <w:abstractNumId w:val="12"/>
  </w:num>
  <w:num w:numId="9" w16cid:durableId="1849782546">
    <w:abstractNumId w:val="9"/>
  </w:num>
  <w:num w:numId="10" w16cid:durableId="825392707">
    <w:abstractNumId w:val="0"/>
  </w:num>
  <w:num w:numId="11" w16cid:durableId="448669436">
    <w:abstractNumId w:val="8"/>
  </w:num>
  <w:num w:numId="12" w16cid:durableId="16936516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96464715">
    <w:abstractNumId w:val="11"/>
  </w:num>
  <w:num w:numId="14" w16cid:durableId="170872451">
    <w:abstractNumId w:val="3"/>
  </w:num>
  <w:num w:numId="15" w16cid:durableId="16155510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364"/>
    <w:rsid w:val="00015F32"/>
    <w:rsid w:val="000302C2"/>
    <w:rsid w:val="00031F17"/>
    <w:rsid w:val="00036727"/>
    <w:rsid w:val="00080611"/>
    <w:rsid w:val="000B03C5"/>
    <w:rsid w:val="00114DDF"/>
    <w:rsid w:val="001903EC"/>
    <w:rsid w:val="001A3563"/>
    <w:rsid w:val="001D06C8"/>
    <w:rsid w:val="00265F05"/>
    <w:rsid w:val="0029483E"/>
    <w:rsid w:val="002D37C2"/>
    <w:rsid w:val="002E4F17"/>
    <w:rsid w:val="0032261B"/>
    <w:rsid w:val="00326F2B"/>
    <w:rsid w:val="0034336F"/>
    <w:rsid w:val="00344F34"/>
    <w:rsid w:val="0034741F"/>
    <w:rsid w:val="00374768"/>
    <w:rsid w:val="00376315"/>
    <w:rsid w:val="00394E64"/>
    <w:rsid w:val="003D498B"/>
    <w:rsid w:val="003D5643"/>
    <w:rsid w:val="003D6C8F"/>
    <w:rsid w:val="003F236E"/>
    <w:rsid w:val="003F2C7B"/>
    <w:rsid w:val="00405DA4"/>
    <w:rsid w:val="00481BB4"/>
    <w:rsid w:val="0049567D"/>
    <w:rsid w:val="004D0B97"/>
    <w:rsid w:val="00504483"/>
    <w:rsid w:val="0055522B"/>
    <w:rsid w:val="005C1FA3"/>
    <w:rsid w:val="00606EB7"/>
    <w:rsid w:val="00620679"/>
    <w:rsid w:val="0064671D"/>
    <w:rsid w:val="00656715"/>
    <w:rsid w:val="006A06A9"/>
    <w:rsid w:val="006B3ADF"/>
    <w:rsid w:val="006C429C"/>
    <w:rsid w:val="006E320A"/>
    <w:rsid w:val="007A5CAA"/>
    <w:rsid w:val="007B0C1A"/>
    <w:rsid w:val="007D496A"/>
    <w:rsid w:val="007F4E8B"/>
    <w:rsid w:val="00815734"/>
    <w:rsid w:val="00866B28"/>
    <w:rsid w:val="00897255"/>
    <w:rsid w:val="008A4CC2"/>
    <w:rsid w:val="00900F0C"/>
    <w:rsid w:val="009465E8"/>
    <w:rsid w:val="0097689C"/>
    <w:rsid w:val="009A7C23"/>
    <w:rsid w:val="009D7ADD"/>
    <w:rsid w:val="009E4714"/>
    <w:rsid w:val="009F777C"/>
    <w:rsid w:val="00A5091D"/>
    <w:rsid w:val="00A60F8E"/>
    <w:rsid w:val="00A62576"/>
    <w:rsid w:val="00A75FA1"/>
    <w:rsid w:val="00AA3233"/>
    <w:rsid w:val="00AD700F"/>
    <w:rsid w:val="00B330BC"/>
    <w:rsid w:val="00B410C3"/>
    <w:rsid w:val="00B526DD"/>
    <w:rsid w:val="00B544A6"/>
    <w:rsid w:val="00BB4E6D"/>
    <w:rsid w:val="00BC6168"/>
    <w:rsid w:val="00C25991"/>
    <w:rsid w:val="00C26D1B"/>
    <w:rsid w:val="00C30F0C"/>
    <w:rsid w:val="00C3279E"/>
    <w:rsid w:val="00C527CE"/>
    <w:rsid w:val="00D440DC"/>
    <w:rsid w:val="00D72364"/>
    <w:rsid w:val="00D85226"/>
    <w:rsid w:val="00DA330A"/>
    <w:rsid w:val="00DA5AE9"/>
    <w:rsid w:val="00E35D09"/>
    <w:rsid w:val="00E45882"/>
    <w:rsid w:val="00E82656"/>
    <w:rsid w:val="00E838A7"/>
    <w:rsid w:val="00E92CE4"/>
    <w:rsid w:val="00E9320E"/>
    <w:rsid w:val="00EC31FD"/>
    <w:rsid w:val="00F26A6B"/>
    <w:rsid w:val="00F709D1"/>
    <w:rsid w:val="00F86183"/>
    <w:rsid w:val="00FA2651"/>
    <w:rsid w:val="00FB5733"/>
    <w:rsid w:val="00FE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C9197E"/>
  <w15:docId w15:val="{D9D2DD0F-1638-824F-A4D9-35B485DCA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671D"/>
    <w:pPr>
      <w:spacing w:line="256" w:lineRule="auto"/>
      <w:jc w:val="both"/>
    </w:pPr>
    <w:rPr>
      <w:rFonts w:eastAsiaTheme="minorEastAsia"/>
    </w:rPr>
  </w:style>
  <w:style w:type="paragraph" w:styleId="Nadpis1">
    <w:name w:val="heading 1"/>
    <w:basedOn w:val="Normln"/>
    <w:next w:val="Normln"/>
    <w:link w:val="Nadpis1Char"/>
    <w:uiPriority w:val="9"/>
    <w:qFormat/>
    <w:rsid w:val="00344F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4671D"/>
    <w:pPr>
      <w:keepNext/>
      <w:keepLines/>
      <w:numPr>
        <w:numId w:val="12"/>
      </w:numPr>
      <w:spacing w:before="40" w:after="0"/>
      <w:ind w:left="426" w:hanging="426"/>
      <w:outlineLvl w:val="1"/>
    </w:pPr>
    <w:rPr>
      <w:rFonts w:ascii="Calibri" w:eastAsiaTheme="majorEastAsia" w:hAnsi="Calibri" w:cs="Calibri"/>
      <w:b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4671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723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2364"/>
  </w:style>
  <w:style w:type="paragraph" w:styleId="Zpat">
    <w:name w:val="footer"/>
    <w:basedOn w:val="Normln"/>
    <w:link w:val="ZpatChar"/>
    <w:uiPriority w:val="99"/>
    <w:unhideWhenUsed/>
    <w:rsid w:val="00D723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2364"/>
  </w:style>
  <w:style w:type="paragraph" w:styleId="Odstavecseseznamem">
    <w:name w:val="List Paragraph"/>
    <w:basedOn w:val="Normln"/>
    <w:uiPriority w:val="34"/>
    <w:qFormat/>
    <w:rsid w:val="00C25991"/>
    <w:pPr>
      <w:ind w:left="720"/>
      <w:contextualSpacing/>
    </w:pPr>
  </w:style>
  <w:style w:type="paragraph" w:customStyle="1" w:styleId="Bezodstavcovhostylu">
    <w:name w:val="[Bez odstavcového stylu]"/>
    <w:rsid w:val="00A62576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64671D"/>
    <w:rPr>
      <w:rFonts w:ascii="Calibri" w:eastAsiaTheme="majorEastAsia" w:hAnsi="Calibri" w:cs="Calibri"/>
      <w:b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64671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64671D"/>
    <w:rPr>
      <w:color w:val="0563C1" w:themeColor="hyperlink"/>
      <w:u w:val="single"/>
    </w:rPr>
  </w:style>
  <w:style w:type="paragraph" w:styleId="Podnadpis">
    <w:name w:val="Subtitle"/>
    <w:basedOn w:val="Normln"/>
    <w:link w:val="PodnadpisChar"/>
    <w:uiPriority w:val="11"/>
    <w:qFormat/>
    <w:rsid w:val="0064671D"/>
    <w:pPr>
      <w:spacing w:after="60" w:line="240" w:lineRule="auto"/>
      <w:jc w:val="center"/>
      <w:outlineLvl w:val="1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64671D"/>
    <w:rPr>
      <w:rFonts w:ascii="Arial" w:eastAsia="Times New Roman" w:hAnsi="Arial" w:cs="Times New Roman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34741F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9F777C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344F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4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26" Type="http://schemas.openxmlformats.org/officeDocument/2006/relationships/hyperlink" Target="http://www2.vision.cz/dokumenty/Ukon&#269;en&#237;_roku_2023.pdf" TargetMode="External"/><Relationship Id="rId3" Type="http://schemas.openxmlformats.org/officeDocument/2006/relationships/styles" Target="styles.xml"/><Relationship Id="rId21" Type="http://schemas.openxmlformats.org/officeDocument/2006/relationships/image" Target="cid:part2.SJ06Wglo.A980EwxQ@vision.cz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https://www.financnisprava.cz/cs/dane/dane/dan-z-pridane-hodnoty/danove-priznani/2024" TargetMode="External"/><Relationship Id="rId25" Type="http://schemas.openxmlformats.org/officeDocument/2006/relationships/image" Target="cid:part4.4S28ubXv.Nk96T0AE@vision.cz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0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2.vision.cz/help32/uct_pouziti_zalohy.htm?zoom_highlightsub=z%C3%A1lohy" TargetMode="External"/><Relationship Id="rId24" Type="http://schemas.openxmlformats.org/officeDocument/2006/relationships/image" Target="media/image12.png"/><Relationship Id="rId32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cid:part3.u0SmJXyN.KV7kRkXo@vision.cz" TargetMode="External"/><Relationship Id="rId28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image" Target="cid:part1.50NQDMio.0K3vO07W@vision.cz" TargetMode="External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1.png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E859D-6B24-4E08-8108-09F2F70B6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4</Pages>
  <Words>833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 Nehněvajsa</dc:creator>
  <cp:keywords/>
  <dc:description/>
  <cp:lastModifiedBy>František Frýbort</cp:lastModifiedBy>
  <cp:revision>35</cp:revision>
  <dcterms:created xsi:type="dcterms:W3CDTF">2022-12-05T15:14:00Z</dcterms:created>
  <dcterms:modified xsi:type="dcterms:W3CDTF">2023-12-15T15:01:00Z</dcterms:modified>
</cp:coreProperties>
</file>