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48ED2C" w14:textId="5D4C2F2B" w:rsidR="0064671D" w:rsidRPr="00694A8A" w:rsidRDefault="0064671D" w:rsidP="003F236E">
      <w:pPr>
        <w:pStyle w:val="Nadpis2"/>
        <w:numPr>
          <w:ilvl w:val="0"/>
          <w:numId w:val="0"/>
        </w:numPr>
        <w:rPr>
          <w:sz w:val="32"/>
          <w:szCs w:val="32"/>
        </w:rPr>
      </w:pPr>
      <w:r w:rsidRPr="00694A8A">
        <w:rPr>
          <w:sz w:val="32"/>
          <w:szCs w:val="32"/>
        </w:rPr>
        <w:t>Ukončení roku 20</w:t>
      </w:r>
      <w:r>
        <w:rPr>
          <w:sz w:val="32"/>
          <w:szCs w:val="32"/>
        </w:rPr>
        <w:t>2</w:t>
      </w:r>
      <w:r w:rsidR="00B544A6">
        <w:rPr>
          <w:sz w:val="32"/>
          <w:szCs w:val="32"/>
        </w:rPr>
        <w:t>3</w:t>
      </w:r>
      <w:r w:rsidRPr="00694A8A">
        <w:rPr>
          <w:sz w:val="32"/>
          <w:szCs w:val="32"/>
        </w:rPr>
        <w:t xml:space="preserve"> a</w:t>
      </w:r>
      <w:r>
        <w:rPr>
          <w:sz w:val="32"/>
          <w:szCs w:val="32"/>
        </w:rPr>
        <w:t xml:space="preserve"> p</w:t>
      </w:r>
      <w:r w:rsidRPr="00694A8A">
        <w:rPr>
          <w:sz w:val="32"/>
          <w:szCs w:val="32"/>
        </w:rPr>
        <w:t>řechod na účtování v roce 20</w:t>
      </w:r>
      <w:r>
        <w:rPr>
          <w:sz w:val="32"/>
          <w:szCs w:val="32"/>
        </w:rPr>
        <w:t>2</w:t>
      </w:r>
      <w:r w:rsidR="00B544A6">
        <w:rPr>
          <w:sz w:val="32"/>
          <w:szCs w:val="32"/>
        </w:rPr>
        <w:t>4</w:t>
      </w:r>
    </w:p>
    <w:p w14:paraId="5FBF77A4" w14:textId="77777777" w:rsidR="0064671D" w:rsidRDefault="0064671D" w:rsidP="0064671D">
      <w:pPr>
        <w:pStyle w:val="Nadpis2"/>
        <w:numPr>
          <w:ilvl w:val="0"/>
          <w:numId w:val="0"/>
        </w:numPr>
        <w:ind w:left="426" w:hanging="426"/>
        <w:jc w:val="left"/>
      </w:pPr>
    </w:p>
    <w:p w14:paraId="4F5DB36E" w14:textId="77777777" w:rsidR="0064671D" w:rsidRDefault="0064671D" w:rsidP="0064671D">
      <w:pPr>
        <w:pStyle w:val="Nadpis2"/>
        <w:numPr>
          <w:ilvl w:val="0"/>
          <w:numId w:val="0"/>
        </w:numPr>
        <w:ind w:left="426" w:hanging="426"/>
        <w:jc w:val="left"/>
        <w:rPr>
          <w:color w:val="1F497D"/>
        </w:rPr>
      </w:pPr>
      <w:r>
        <w:t>V dokumentaci k Vision ERP jsou informace k ukončení roku v </w:t>
      </w:r>
      <w:hyperlink r:id="rId7" w:history="1">
        <w:r w:rsidRPr="005E46FB">
          <w:rPr>
            <w:rStyle w:val="Hypertextovodkaz"/>
          </w:rPr>
          <w:t>nápovědě</w:t>
        </w:r>
      </w:hyperlink>
      <w:r>
        <w:rPr>
          <w:rStyle w:val="Hypertextovodkaz"/>
        </w:rPr>
        <w:t xml:space="preserve"> </w:t>
      </w:r>
      <w:r w:rsidRPr="00841170">
        <w:rPr>
          <w:rStyle w:val="Hypertextovodkaz"/>
          <w:sz w:val="12"/>
          <w:szCs w:val="12"/>
        </w:rPr>
        <w:t>(klik na odkaz</w:t>
      </w:r>
      <w:r>
        <w:rPr>
          <w:rStyle w:val="Hypertextovodkaz"/>
          <w:sz w:val="12"/>
          <w:szCs w:val="12"/>
        </w:rPr>
        <w:t>)</w:t>
      </w:r>
    </w:p>
    <w:p w14:paraId="58B96F88" w14:textId="663411AF" w:rsidR="0064671D" w:rsidRDefault="0064671D" w:rsidP="0064671D">
      <w:pPr>
        <w:spacing w:after="40"/>
        <w:jc w:val="left"/>
      </w:pPr>
      <w:r>
        <w:t xml:space="preserve">Dokument směřujeme především účetním jednotkám účtujícím v kalendářním roce, proto prosíme účetní jednotky, které účtují v hospodářském roce, aby dokument použily jen příkladně. </w:t>
      </w:r>
    </w:p>
    <w:p w14:paraId="464F3A9E" w14:textId="65019EBD" w:rsidR="003F236E" w:rsidRDefault="003F236E" w:rsidP="0064671D">
      <w:pPr>
        <w:spacing w:after="40"/>
        <w:jc w:val="left"/>
      </w:pPr>
      <w:r>
        <w:t>Nápověda je poměrně obsáhlá, případné číslovky roku starého zaměňte rokem 202</w:t>
      </w:r>
      <w:r w:rsidR="00394E64">
        <w:t>3</w:t>
      </w:r>
      <w:r>
        <w:t xml:space="preserve"> a nového rokem 202</w:t>
      </w:r>
      <w:r w:rsidR="00394E64">
        <w:t>4</w:t>
      </w:r>
      <w:r>
        <w:t>.</w:t>
      </w:r>
    </w:p>
    <w:p w14:paraId="0631D6EE" w14:textId="77777777" w:rsidR="007C5D70" w:rsidRDefault="007C5D70" w:rsidP="007C5D70">
      <w:pPr>
        <w:spacing w:after="40"/>
        <w:jc w:val="left"/>
        <w:rPr>
          <w:rFonts w:eastAsiaTheme="majorEastAsia"/>
        </w:rPr>
      </w:pPr>
      <w:r>
        <w:rPr>
          <w:rFonts w:eastAsiaTheme="majorEastAsia"/>
        </w:rPr>
        <w:t>Před koncem roku 2023 rozhodně nainstalujte posledně uveřejněnou verzi Vision ERP – U</w:t>
      </w:r>
      <w:r w:rsidRPr="0055522B">
        <w:rPr>
          <w:rFonts w:eastAsiaTheme="majorEastAsia"/>
        </w:rPr>
        <w:t>pg</w:t>
      </w:r>
      <w:r>
        <w:rPr>
          <w:rFonts w:eastAsiaTheme="majorEastAsia"/>
        </w:rPr>
        <w:t>rade nejméně:</w:t>
      </w:r>
      <w:r w:rsidRPr="0055522B">
        <w:rPr>
          <w:rFonts w:eastAsiaTheme="majorEastAsia"/>
        </w:rPr>
        <w:t xml:space="preserve"> </w:t>
      </w:r>
      <w:r w:rsidRPr="0055522B">
        <w:rPr>
          <w:rFonts w:eastAsiaTheme="majorEastAsia"/>
          <w:b/>
          <w:bCs/>
          <w:color w:val="FF0000"/>
        </w:rPr>
        <w:t>203.76</w:t>
      </w:r>
      <w:r w:rsidRPr="0055522B">
        <w:rPr>
          <w:rFonts w:eastAsiaTheme="majorEastAsia"/>
          <w:color w:val="FF0000"/>
        </w:rPr>
        <w:t xml:space="preserve"> </w:t>
      </w:r>
      <w:r w:rsidRPr="0055522B">
        <w:rPr>
          <w:rFonts w:eastAsiaTheme="majorEastAsia"/>
        </w:rPr>
        <w:t xml:space="preserve">a klient verze </w:t>
      </w:r>
      <w:r>
        <w:rPr>
          <w:rFonts w:eastAsiaTheme="majorEastAsia"/>
        </w:rPr>
        <w:t xml:space="preserve">nejméně </w:t>
      </w:r>
      <w:r w:rsidRPr="0055522B">
        <w:rPr>
          <w:rFonts w:eastAsiaTheme="majorEastAsia"/>
          <w:b/>
          <w:bCs/>
          <w:color w:val="FF0000"/>
        </w:rPr>
        <w:t>3.0.43.804</w:t>
      </w:r>
      <w:r>
        <w:rPr>
          <w:rFonts w:eastAsiaTheme="majorEastAsia"/>
        </w:rPr>
        <w:t xml:space="preserve">. </w:t>
      </w:r>
    </w:p>
    <w:p w14:paraId="05F0378F" w14:textId="25CE11A2" w:rsidR="00394E64" w:rsidRPr="00394E64" w:rsidRDefault="00394E64" w:rsidP="0064671D">
      <w:pPr>
        <w:spacing w:after="40"/>
        <w:jc w:val="left"/>
        <w:rPr>
          <w:lang w:val="en-GB"/>
        </w:rPr>
      </w:pPr>
      <w:r w:rsidRPr="009F777C">
        <w:rPr>
          <w:rStyle w:val="Nadpis2Char"/>
        </w:rPr>
        <w:t>Nová funkce k </w:t>
      </w:r>
      <w:r w:rsidR="007F4E8B">
        <w:rPr>
          <w:rStyle w:val="Nadpis2Char"/>
        </w:rPr>
        <w:t>do</w:t>
      </w:r>
      <w:r w:rsidR="00376315">
        <w:rPr>
          <w:rStyle w:val="Nadpis2Char"/>
        </w:rPr>
        <w:t>účtování</w:t>
      </w:r>
      <w:r w:rsidRPr="009F777C">
        <w:rPr>
          <w:rStyle w:val="Nadpis2Char"/>
        </w:rPr>
        <w:t xml:space="preserve"> položek saldokont</w:t>
      </w:r>
      <w:r>
        <w:t>, kde</w:t>
      </w:r>
      <w:r w:rsidR="00376315">
        <w:t xml:space="preserve"> </w:t>
      </w:r>
      <w:r>
        <w:t xml:space="preserve">předpis-úhrada v cizí měně = 0, </w:t>
      </w:r>
      <w:r w:rsidR="00376315">
        <w:br/>
      </w:r>
      <w:r>
        <w:t xml:space="preserve">ale MD-DAL &lt;&gt; </w:t>
      </w:r>
      <w:r>
        <w:rPr>
          <w:lang w:val="en-GB"/>
        </w:rPr>
        <w:t xml:space="preserve">0 </w:t>
      </w:r>
      <w:r w:rsidR="00376315">
        <w:rPr>
          <w:lang w:val="en-GB"/>
        </w:rPr>
        <w:t>=</w:t>
      </w:r>
      <w:r>
        <w:rPr>
          <w:lang w:val="en-GB"/>
        </w:rPr>
        <w:t xml:space="preserve"> </w:t>
      </w:r>
      <w:r>
        <w:t xml:space="preserve">položky, kde nebyl správně vyčíslený kurzový rozdíl při párování. Funkci spustíte takto: V 12/2023 založíte v interních dokladech </w:t>
      </w:r>
      <w:r w:rsidR="00900F0C">
        <w:t>účetní doklad a spustíte funkci</w:t>
      </w:r>
      <w:r w:rsidR="009F777C">
        <w:t xml:space="preserve"> „</w:t>
      </w:r>
      <w:hyperlink r:id="rId8" w:anchor="vyrovnani_saldokont" w:history="1">
        <w:r w:rsidR="009F777C" w:rsidRPr="00815734">
          <w:rPr>
            <w:rStyle w:val="Hypertextovodkaz"/>
          </w:rPr>
          <w:t xml:space="preserve">Chyby </w:t>
        </w:r>
        <w:proofErr w:type="spellStart"/>
        <w:r w:rsidR="009F777C" w:rsidRPr="00815734">
          <w:rPr>
            <w:rStyle w:val="Hypertextovodkaz"/>
          </w:rPr>
          <w:t>překurzování</w:t>
        </w:r>
        <w:proofErr w:type="spellEnd"/>
      </w:hyperlink>
      <w:r w:rsidR="009F777C">
        <w:t>“:</w:t>
      </w:r>
      <w:r w:rsidR="00900F0C">
        <w:t xml:space="preserve"> </w:t>
      </w:r>
      <w:r w:rsidR="009F777C" w:rsidRPr="009F777C">
        <w:rPr>
          <w:noProof/>
        </w:rPr>
        <w:drawing>
          <wp:inline distT="0" distB="0" distL="0" distR="0" wp14:anchorId="32FB2A5A" wp14:editId="68948B92">
            <wp:extent cx="4534533" cy="695422"/>
            <wp:effectExtent l="0" t="0" r="0" b="9525"/>
            <wp:docPr id="935186160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518616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534533" cy="6954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5CF895D0" w14:textId="77777777" w:rsidR="0064671D" w:rsidRDefault="0064671D" w:rsidP="0064671D">
      <w:pPr>
        <w:pStyle w:val="Nadpis2"/>
        <w:numPr>
          <w:ilvl w:val="0"/>
          <w:numId w:val="0"/>
        </w:numPr>
        <w:ind w:left="426" w:hanging="426"/>
        <w:rPr>
          <w:noProof/>
        </w:rPr>
      </w:pPr>
      <w:r>
        <w:rPr>
          <w:noProof/>
        </w:rPr>
        <w:t>Nastavení nového účetního období</w:t>
      </w:r>
    </w:p>
    <w:p w14:paraId="47982B7F" w14:textId="4D151358" w:rsidR="0064671D" w:rsidRDefault="0064671D" w:rsidP="0064671D">
      <w:pPr>
        <w:spacing w:after="40"/>
        <w:jc w:val="left"/>
        <w:rPr>
          <w:noProof/>
        </w:rPr>
      </w:pPr>
      <w:r>
        <w:rPr>
          <w:noProof/>
        </w:rPr>
        <w:t>V číselníku účetních období (CTRL O), pokud účtujete v kalendářním roce, založíte účetní období od 1.1.202</w:t>
      </w:r>
      <w:r w:rsidR="00394E64">
        <w:rPr>
          <w:noProof/>
        </w:rPr>
        <w:t>4</w:t>
      </w:r>
      <w:r>
        <w:rPr>
          <w:noProof/>
        </w:rPr>
        <w:t xml:space="preserve"> do 31.12.202</w:t>
      </w:r>
      <w:r w:rsidR="00394E64">
        <w:rPr>
          <w:noProof/>
        </w:rPr>
        <w:t>4</w:t>
      </w:r>
      <w:r>
        <w:rPr>
          <w:noProof/>
        </w:rPr>
        <w:t>. POZOR! – pokud během roku vznikne potřeba založit nové účetní období (fúze, insolvence apod.), je nutné konec období přepsat a založit nové účetní období. Podobně, pokud budete prodlužovat účetní období, je nutné nezakládat nové účetní období, ale prodloužit stávající přepsáním pole „Konec“. Účetní období také můžete založit funkcí „Účetní závěrka“.</w:t>
      </w:r>
    </w:p>
    <w:p w14:paraId="011830F1" w14:textId="77777777" w:rsidR="003F236E" w:rsidRDefault="003F236E" w:rsidP="0064671D">
      <w:pPr>
        <w:spacing w:after="40"/>
        <w:jc w:val="left"/>
        <w:rPr>
          <w:noProof/>
        </w:rPr>
      </w:pPr>
    </w:p>
    <w:p w14:paraId="33C9864C" w14:textId="33266E61" w:rsidR="0064671D" w:rsidRDefault="00394E64" w:rsidP="0064671D">
      <w:pPr>
        <w:spacing w:after="40"/>
        <w:jc w:val="left"/>
        <w:rPr>
          <w:noProof/>
        </w:rPr>
      </w:pPr>
      <w:r>
        <w:rPr>
          <w:noProof/>
        </w:rPr>
        <w:drawing>
          <wp:inline distT="0" distB="0" distL="0" distR="0" wp14:anchorId="0D6C1927" wp14:editId="070DA691">
            <wp:extent cx="3390900" cy="2028825"/>
            <wp:effectExtent l="0" t="0" r="0" b="9525"/>
            <wp:docPr id="1967502188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7502188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390900" cy="2028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94E64">
        <w:rPr>
          <w:noProof/>
        </w:rPr>
        <w:drawing>
          <wp:inline distT="0" distB="0" distL="0" distR="0" wp14:anchorId="64654E5C" wp14:editId="1D7C186F">
            <wp:extent cx="1590897" cy="609685"/>
            <wp:effectExtent l="0" t="0" r="9525" b="0"/>
            <wp:docPr id="1419959050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995905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590897" cy="609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774FA6" w14:textId="77777777" w:rsidR="003F236E" w:rsidRDefault="003F236E" w:rsidP="0064671D">
      <w:pPr>
        <w:spacing w:after="40"/>
        <w:jc w:val="left"/>
        <w:rPr>
          <w:noProof/>
        </w:rPr>
      </w:pPr>
    </w:p>
    <w:p w14:paraId="5531DF4F" w14:textId="286F24A7" w:rsidR="0064671D" w:rsidRDefault="0064671D" w:rsidP="0064671D">
      <w:pPr>
        <w:spacing w:after="40"/>
        <w:jc w:val="left"/>
        <w:rPr>
          <w:noProof/>
        </w:rPr>
      </w:pPr>
      <w:r>
        <w:rPr>
          <w:noProof/>
        </w:rPr>
        <w:t>V OBDOBÍ 12/202</w:t>
      </w:r>
      <w:r w:rsidR="00394E64">
        <w:rPr>
          <w:noProof/>
        </w:rPr>
        <w:t>3</w:t>
      </w:r>
      <w:r>
        <w:rPr>
          <w:noProof/>
        </w:rPr>
        <w:t xml:space="preserve"> použijete funkci:</w:t>
      </w:r>
    </w:p>
    <w:p w14:paraId="7550C166" w14:textId="77777777" w:rsidR="0064671D" w:rsidRDefault="0064671D" w:rsidP="0064671D">
      <w:pPr>
        <w:pStyle w:val="Nadpis2"/>
        <w:numPr>
          <w:ilvl w:val="0"/>
          <w:numId w:val="0"/>
        </w:numPr>
        <w:ind w:left="426" w:hanging="426"/>
        <w:rPr>
          <w:noProof/>
        </w:rPr>
      </w:pPr>
      <w:r w:rsidRPr="00B74560">
        <w:rPr>
          <w:noProof/>
        </w:rPr>
        <w:t>Účetnictví – závěrka – účetní závěrka</w:t>
      </w:r>
      <w:r>
        <w:rPr>
          <w:noProof/>
        </w:rPr>
        <w:t xml:space="preserve"> </w:t>
      </w:r>
    </w:p>
    <w:p w14:paraId="36184EE1" w14:textId="3C377726" w:rsidR="0064671D" w:rsidRDefault="0064671D" w:rsidP="0064671D">
      <w:pPr>
        <w:spacing w:after="40"/>
        <w:jc w:val="left"/>
        <w:rPr>
          <w:noProof/>
        </w:rPr>
      </w:pPr>
      <w:r>
        <w:rPr>
          <w:noProof/>
        </w:rPr>
        <w:drawing>
          <wp:inline distT="0" distB="0" distL="0" distR="0" wp14:anchorId="2092E3F5" wp14:editId="3E3FE00E">
            <wp:extent cx="1960245" cy="1075055"/>
            <wp:effectExtent l="0" t="0" r="1905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0245" cy="1075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</w:t>
      </w:r>
    </w:p>
    <w:p w14:paraId="36E2B4E3" w14:textId="77777777" w:rsidR="003F236E" w:rsidRDefault="003F236E" w:rsidP="0064671D">
      <w:pPr>
        <w:spacing w:after="40"/>
        <w:jc w:val="left"/>
        <w:rPr>
          <w:noProof/>
        </w:rPr>
      </w:pPr>
    </w:p>
    <w:p w14:paraId="5D96EC12" w14:textId="693F5182" w:rsidR="0064671D" w:rsidRDefault="0064671D" w:rsidP="0064671D">
      <w:pPr>
        <w:spacing w:after="40"/>
        <w:jc w:val="left"/>
        <w:rPr>
          <w:noProof/>
        </w:rPr>
      </w:pPr>
      <w:r>
        <w:rPr>
          <w:noProof/>
        </w:rPr>
        <w:lastRenderedPageBreak/>
        <w:t>Po spuštění akce následují dotazy na kontroly, jedná se o kontrolu na zúčtování kurzových rozdílů valutových pokladen a bank v cizích měnách, aby se při přechodu na nový rok nezapomnělo, že zúčtovat kurzové rozdíly je nutné ještě před účtováním výpisů bank v cizích měnách a valutových pokladnách v novém roce. Nyní volte Ne:</w:t>
      </w:r>
      <w:r>
        <w:rPr>
          <w:noProof/>
        </w:rPr>
        <w:br/>
      </w:r>
      <w:r>
        <w:rPr>
          <w:noProof/>
        </w:rPr>
        <w:drawing>
          <wp:inline distT="0" distB="0" distL="0" distR="0" wp14:anchorId="33835FD0" wp14:editId="51FF8986">
            <wp:extent cx="3343275" cy="987425"/>
            <wp:effectExtent l="0" t="0" r="9525" b="3175"/>
            <wp:docPr id="8" name="Obrázek 8" descr="Obsah obrázku tex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Obrázek 8" descr="Obsah obrázku text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3275" cy="987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</w:t>
      </w:r>
    </w:p>
    <w:p w14:paraId="02860AB9" w14:textId="77777777" w:rsidR="003F236E" w:rsidRDefault="003F236E" w:rsidP="0064671D">
      <w:pPr>
        <w:spacing w:after="40"/>
        <w:jc w:val="left"/>
        <w:rPr>
          <w:noProof/>
        </w:rPr>
      </w:pPr>
    </w:p>
    <w:p w14:paraId="01EB62AF" w14:textId="2CFC1032" w:rsidR="0064671D" w:rsidRDefault="0064671D" w:rsidP="0064671D">
      <w:pPr>
        <w:spacing w:after="40"/>
        <w:jc w:val="left"/>
        <w:rPr>
          <w:noProof/>
        </w:rPr>
      </w:pPr>
      <w:r>
        <w:rPr>
          <w:noProof/>
        </w:rPr>
        <w:t>Stejně tak je nutné mít oceněny závazky a pohledávky rozvahovými kurzy posledního dne roku 202</w:t>
      </w:r>
      <w:r w:rsidR="00394E64">
        <w:rPr>
          <w:noProof/>
        </w:rPr>
        <w:t>3</w:t>
      </w:r>
      <w:r>
        <w:rPr>
          <w:noProof/>
        </w:rPr>
        <w:t xml:space="preserve"> před jejich párováním v roce 202</w:t>
      </w:r>
      <w:r w:rsidR="00394E64">
        <w:rPr>
          <w:noProof/>
        </w:rPr>
        <w:t>4</w:t>
      </w:r>
      <w:r>
        <w:rPr>
          <w:noProof/>
        </w:rPr>
        <w:t>, ale funkci spusťte až po zúčtování bankovních výpisů v roce 202</w:t>
      </w:r>
      <w:r w:rsidR="00394E64">
        <w:rPr>
          <w:noProof/>
        </w:rPr>
        <w:t>3</w:t>
      </w:r>
      <w:r>
        <w:rPr>
          <w:noProof/>
        </w:rPr>
        <w:t>.</w:t>
      </w:r>
    </w:p>
    <w:p w14:paraId="3E357584" w14:textId="6B560F6E" w:rsidR="0064671D" w:rsidRDefault="0064671D" w:rsidP="0064671D">
      <w:pPr>
        <w:spacing w:after="40"/>
        <w:jc w:val="left"/>
        <w:rPr>
          <w:noProof/>
        </w:rPr>
      </w:pPr>
      <w:r>
        <w:rPr>
          <w:noProof/>
        </w:rPr>
        <w:t>Závěrku můžete v pravidelných intervalech pouštět opakovaně, není tedy nutné při první závěrce funkci spouštět, zvláště když budete nejprve zakládat a spravovat číselníky. Volte tedy poprvé Ne.</w:t>
      </w:r>
    </w:p>
    <w:p w14:paraId="5F9ADFF4" w14:textId="77777777" w:rsidR="003F236E" w:rsidRDefault="003F236E" w:rsidP="0064671D">
      <w:pPr>
        <w:spacing w:after="40"/>
        <w:jc w:val="left"/>
        <w:rPr>
          <w:noProof/>
        </w:rPr>
      </w:pPr>
    </w:p>
    <w:p w14:paraId="23EA2DA9" w14:textId="538E8143" w:rsidR="0064671D" w:rsidRDefault="0064671D" w:rsidP="0064671D">
      <w:pPr>
        <w:spacing w:after="40"/>
        <w:jc w:val="left"/>
        <w:rPr>
          <w:noProof/>
        </w:rPr>
      </w:pPr>
      <w:r w:rsidRPr="00E25BD0">
        <w:rPr>
          <w:noProof/>
        </w:rPr>
        <w:drawing>
          <wp:inline distT="0" distB="0" distL="0" distR="0" wp14:anchorId="534BC726" wp14:editId="1D23E51B">
            <wp:extent cx="3036570" cy="1147445"/>
            <wp:effectExtent l="0" t="0" r="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6570" cy="1147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01B737" w14:textId="77777777" w:rsidR="003F236E" w:rsidRDefault="003F236E" w:rsidP="0064671D">
      <w:pPr>
        <w:spacing w:after="40"/>
        <w:jc w:val="left"/>
        <w:rPr>
          <w:noProof/>
        </w:rPr>
      </w:pPr>
    </w:p>
    <w:p w14:paraId="69E67BAB" w14:textId="77777777" w:rsidR="0064671D" w:rsidRDefault="0064671D" w:rsidP="0064671D">
      <w:pPr>
        <w:spacing w:after="40"/>
        <w:jc w:val="left"/>
        <w:rPr>
          <w:noProof/>
        </w:rPr>
      </w:pPr>
      <w:r>
        <w:rPr>
          <w:noProof/>
        </w:rPr>
        <w:t>Další nabídkou je provedení kontroly porovnání účetního deníku s rozpisem střediskovým. Kontrolu spusťte, i když jste střediskově neúčtovali, alespoň při konečné účetní závěrce.</w:t>
      </w:r>
    </w:p>
    <w:p w14:paraId="4A232FB4" w14:textId="65DE8495" w:rsidR="0064671D" w:rsidRDefault="0064671D" w:rsidP="0064671D">
      <w:pPr>
        <w:spacing w:after="40"/>
        <w:jc w:val="left"/>
        <w:rPr>
          <w:noProof/>
        </w:rPr>
      </w:pPr>
      <w:r>
        <w:rPr>
          <w:noProof/>
          <w:lang w:eastAsia="cs-CZ"/>
        </w:rPr>
        <w:drawing>
          <wp:inline distT="0" distB="0" distL="0" distR="0" wp14:anchorId="051910A8" wp14:editId="2DA0BA53">
            <wp:extent cx="3474720" cy="731520"/>
            <wp:effectExtent l="0" t="0" r="0" b="0"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4720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912C89" w14:textId="77777777" w:rsidR="003F236E" w:rsidRDefault="003F236E" w:rsidP="0064671D">
      <w:pPr>
        <w:spacing w:after="40"/>
        <w:jc w:val="left"/>
        <w:rPr>
          <w:noProof/>
        </w:rPr>
      </w:pPr>
    </w:p>
    <w:p w14:paraId="42E9EB66" w14:textId="77777777" w:rsidR="0064671D" w:rsidRDefault="0064671D" w:rsidP="0064671D">
      <w:pPr>
        <w:spacing w:after="40"/>
        <w:jc w:val="left"/>
        <w:rPr>
          <w:noProof/>
        </w:rPr>
      </w:pPr>
      <w:r>
        <w:rPr>
          <w:noProof/>
        </w:rPr>
        <w:t>Funkce může být časově náročná (dle množství dokladů), není nutné ji spouštět pokaždé, kdy účetní závěrku opakujete, doporučujeme ji spustit při posledním provedení funkce, kdy už máte zúčtovanou i daňovou povinnost.</w:t>
      </w:r>
    </w:p>
    <w:p w14:paraId="4688CBDF" w14:textId="77777777" w:rsidR="007F4E8B" w:rsidRDefault="007F4E8B" w:rsidP="007F4E8B">
      <w:pPr>
        <w:spacing w:after="40"/>
        <w:jc w:val="left"/>
        <w:rPr>
          <w:noProof/>
        </w:rPr>
      </w:pPr>
      <w:r>
        <w:rPr>
          <w:noProof/>
        </w:rPr>
        <w:t xml:space="preserve">Jako první nabídka funkce ukončení roku je číselník </w:t>
      </w:r>
      <w:r w:rsidRPr="00B74560">
        <w:rPr>
          <w:b/>
          <w:noProof/>
        </w:rPr>
        <w:t>účetních období</w:t>
      </w:r>
      <w:r>
        <w:rPr>
          <w:noProof/>
        </w:rPr>
        <w:t xml:space="preserve">. </w:t>
      </w:r>
    </w:p>
    <w:p w14:paraId="090200C8" w14:textId="77777777" w:rsidR="007F4E8B" w:rsidRDefault="007F4E8B" w:rsidP="007F4E8B">
      <w:pPr>
        <w:spacing w:after="40"/>
        <w:jc w:val="left"/>
        <w:rPr>
          <w:noProof/>
        </w:rPr>
      </w:pPr>
      <w:r>
        <w:rPr>
          <w:noProof/>
          <w:lang w:eastAsia="cs-CZ"/>
        </w:rPr>
        <w:drawing>
          <wp:anchor distT="0" distB="0" distL="114300" distR="114300" simplePos="0" relativeHeight="251662336" behindDoc="0" locked="0" layoutInCell="1" allowOverlap="1" wp14:anchorId="73AEC68B" wp14:editId="1303AB8C">
            <wp:simplePos x="0" y="0"/>
            <wp:positionH relativeFrom="margin">
              <wp:align>left</wp:align>
            </wp:positionH>
            <wp:positionV relativeFrom="paragraph">
              <wp:posOffset>6985</wp:posOffset>
            </wp:positionV>
            <wp:extent cx="2377440" cy="274320"/>
            <wp:effectExtent l="0" t="0" r="3810" b="0"/>
            <wp:wrapNone/>
            <wp:docPr id="11" name="Obráze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7440" cy="274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CE4B92C" w14:textId="77777777" w:rsidR="007F4E8B" w:rsidRDefault="007F4E8B" w:rsidP="007F4E8B">
      <w:pPr>
        <w:spacing w:after="40"/>
        <w:jc w:val="left"/>
        <w:rPr>
          <w:noProof/>
        </w:rPr>
      </w:pPr>
    </w:p>
    <w:p w14:paraId="5DA08F85" w14:textId="77777777" w:rsidR="007F4E8B" w:rsidRDefault="007F4E8B" w:rsidP="007F4E8B">
      <w:pPr>
        <w:spacing w:after="40"/>
        <w:jc w:val="left"/>
        <w:rPr>
          <w:noProof/>
        </w:rPr>
      </w:pPr>
      <w:r>
        <w:rPr>
          <w:noProof/>
        </w:rPr>
        <w:t xml:space="preserve">Po založení období je nutné před spuštěním závěrky projít jednotlivá zatržítka. </w:t>
      </w:r>
    </w:p>
    <w:p w14:paraId="22F88E2F" w14:textId="3D4150C9" w:rsidR="0064671D" w:rsidRDefault="0064671D" w:rsidP="0064671D">
      <w:pPr>
        <w:spacing w:after="40"/>
        <w:jc w:val="left"/>
        <w:rPr>
          <w:b/>
          <w:bCs/>
        </w:rPr>
      </w:pPr>
      <w:r w:rsidRPr="00841170">
        <w:rPr>
          <w:noProof/>
        </w:rPr>
        <w:t>V</w:t>
      </w:r>
      <w:r>
        <w:rPr>
          <w:noProof/>
        </w:rPr>
        <w:t xml:space="preserve"> dialogu </w:t>
      </w:r>
      <w:r>
        <w:t xml:space="preserve">účetní závěrky jsou také funkce účetního deníku na </w:t>
      </w:r>
      <w:r w:rsidRPr="009A7C20">
        <w:rPr>
          <w:b/>
        </w:rPr>
        <w:t>přecenění závazků a pohledávek v cizích měnách</w:t>
      </w:r>
      <w:r>
        <w:t>. Jak je již psáno shora, přecenění závazků a pohledávek musíte provést v roce 202</w:t>
      </w:r>
      <w:r w:rsidR="00394E64">
        <w:t>3</w:t>
      </w:r>
      <w:r>
        <w:t xml:space="preserve">, </w:t>
      </w:r>
      <w:r w:rsidRPr="007F4A45">
        <w:rPr>
          <w:b/>
          <w:bCs/>
        </w:rPr>
        <w:t>a to dříve, než budete párovat závazky a pohledávky v cizích měnách v roce 202</w:t>
      </w:r>
      <w:r w:rsidR="00394E64">
        <w:rPr>
          <w:b/>
          <w:bCs/>
        </w:rPr>
        <w:t>4</w:t>
      </w:r>
      <w:r w:rsidRPr="007F4A45">
        <w:rPr>
          <w:b/>
          <w:bCs/>
        </w:rPr>
        <w:t xml:space="preserve"> (účtovat výpisy)</w:t>
      </w:r>
      <w:r>
        <w:rPr>
          <w:b/>
          <w:bCs/>
        </w:rPr>
        <w:t xml:space="preserve">, </w:t>
      </w:r>
      <w:r w:rsidR="00FA2651">
        <w:t>poněvadž</w:t>
      </w:r>
      <w:r w:rsidRPr="00E25BD0">
        <w:t xml:space="preserve"> </w:t>
      </w:r>
      <w:r w:rsidR="00FA2651">
        <w:t xml:space="preserve">v případě účtování v r. 2024 před kurzovým </w:t>
      </w:r>
      <w:r>
        <w:t>přepočt</w:t>
      </w:r>
      <w:r w:rsidR="00FA2651">
        <w:t>em</w:t>
      </w:r>
      <w:r>
        <w:t xml:space="preserve"> </w:t>
      </w:r>
      <w:r w:rsidR="00FA2651">
        <w:t xml:space="preserve">r. </w:t>
      </w:r>
      <w:r>
        <w:t>202</w:t>
      </w:r>
      <w:r w:rsidR="00E35D09">
        <w:t>3</w:t>
      </w:r>
      <w:r w:rsidR="00FA2651">
        <w:t>,</w:t>
      </w:r>
      <w:r>
        <w:t xml:space="preserve"> </w:t>
      </w:r>
      <w:r w:rsidR="00FA2651">
        <w:t xml:space="preserve">by následný přepočet v r. 2023 byl provedený i u již spárovaných položek v r. 2024 a v r. 2024 byste měli </w:t>
      </w:r>
      <w:r w:rsidR="00376315">
        <w:t>chybně vyčíslený kurzový rozdíl</w:t>
      </w:r>
      <w:r w:rsidRPr="00E25BD0">
        <w:t>.</w:t>
      </w:r>
      <w:r>
        <w:rPr>
          <w:b/>
          <w:bCs/>
        </w:rPr>
        <w:t xml:space="preserve"> </w:t>
      </w:r>
    </w:p>
    <w:p w14:paraId="1EACA32E" w14:textId="1ABF8B35" w:rsidR="007F4E8B" w:rsidRDefault="0064671D" w:rsidP="007F4E8B">
      <w:pPr>
        <w:spacing w:after="40"/>
        <w:jc w:val="left"/>
        <w:rPr>
          <w:noProof/>
        </w:rPr>
      </w:pPr>
      <w:r>
        <w:rPr>
          <w:b/>
          <w:bCs/>
        </w:rPr>
        <w:t xml:space="preserve">Pokud jen zakládáte číselníky </w:t>
      </w:r>
      <w:r w:rsidRPr="007F4A45">
        <w:t>pro účtování v roce 202</w:t>
      </w:r>
      <w:r w:rsidR="00394E64">
        <w:t>4</w:t>
      </w:r>
      <w:r w:rsidRPr="007F4A45">
        <w:t xml:space="preserve"> a nemáte zúčtované výpisy, vyčištěná saldokonta,</w:t>
      </w:r>
      <w:r>
        <w:rPr>
          <w:b/>
          <w:bCs/>
        </w:rPr>
        <w:t xml:space="preserve"> nemusíte tyto funkce spouštět ihned</w:t>
      </w:r>
      <w:r w:rsidR="00E35D09">
        <w:rPr>
          <w:b/>
          <w:bCs/>
        </w:rPr>
        <w:t>, ale nezapomenout, že tyto akce je nutné provést.</w:t>
      </w:r>
      <w:r w:rsidR="007F4E8B">
        <w:rPr>
          <w:noProof/>
        </w:rPr>
        <w:br w:type="page"/>
      </w:r>
    </w:p>
    <w:p w14:paraId="4ACF70BE" w14:textId="32423844" w:rsidR="0064671D" w:rsidRDefault="0064671D" w:rsidP="0064671D">
      <w:pPr>
        <w:spacing w:after="40"/>
        <w:jc w:val="left"/>
        <w:rPr>
          <w:noProof/>
        </w:rPr>
      </w:pPr>
      <w:r>
        <w:rPr>
          <w:noProof/>
          <w:lang w:eastAsia="cs-CZ"/>
        </w:rPr>
        <w:lastRenderedPageBreak/>
        <w:drawing>
          <wp:inline distT="0" distB="0" distL="0" distR="0" wp14:anchorId="0A18CBF6" wp14:editId="74554C9E">
            <wp:extent cx="2507615" cy="1268095"/>
            <wp:effectExtent l="0" t="0" r="6985" b="8255"/>
            <wp:docPr id="25" name="Obrázek 25" descr="Obsah obrázku tex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Obrázek 25" descr="Obsah obrázku text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7615" cy="1268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754D57" w14:textId="77777777" w:rsidR="003F236E" w:rsidRDefault="003F236E" w:rsidP="0064671D">
      <w:pPr>
        <w:spacing w:after="40"/>
        <w:jc w:val="left"/>
        <w:rPr>
          <w:noProof/>
        </w:rPr>
      </w:pPr>
    </w:p>
    <w:p w14:paraId="46836D50" w14:textId="77777777" w:rsidR="003F236E" w:rsidRDefault="0064671D" w:rsidP="0064671D">
      <w:pPr>
        <w:spacing w:after="40"/>
        <w:jc w:val="left"/>
        <w:rPr>
          <w:noProof/>
        </w:rPr>
      </w:pPr>
      <w:r>
        <w:rPr>
          <w:noProof/>
        </w:rPr>
        <w:t xml:space="preserve">Pokud budete období nastavovat ještě v prosinci, nebo hned začátkem roku, nemusíte nutně </w:t>
      </w:r>
      <w:r w:rsidRPr="00B74560">
        <w:rPr>
          <w:b/>
          <w:noProof/>
        </w:rPr>
        <w:t>Naplnit poč</w:t>
      </w:r>
      <w:r>
        <w:rPr>
          <w:b/>
          <w:noProof/>
        </w:rPr>
        <w:t>á</w:t>
      </w:r>
      <w:r w:rsidRPr="00B74560">
        <w:rPr>
          <w:b/>
          <w:noProof/>
        </w:rPr>
        <w:t>teční stavy účtů nového účetního období</w:t>
      </w:r>
      <w:r>
        <w:rPr>
          <w:noProof/>
        </w:rPr>
        <w:t>.</w:t>
      </w:r>
    </w:p>
    <w:p w14:paraId="5B85D85F" w14:textId="77777777" w:rsidR="003F236E" w:rsidRDefault="003F236E" w:rsidP="0064671D">
      <w:pPr>
        <w:spacing w:after="40"/>
        <w:jc w:val="left"/>
        <w:rPr>
          <w:noProof/>
        </w:rPr>
      </w:pPr>
    </w:p>
    <w:p w14:paraId="50E5E0F0" w14:textId="38CAA19C" w:rsidR="0064671D" w:rsidRDefault="0064671D" w:rsidP="0064671D">
      <w:pPr>
        <w:spacing w:after="40"/>
        <w:jc w:val="left"/>
        <w:rPr>
          <w:noProof/>
        </w:rPr>
      </w:pPr>
      <w:r>
        <w:rPr>
          <w:noProof/>
        </w:rPr>
        <w:t xml:space="preserve"> </w:t>
      </w:r>
      <w:r>
        <w:rPr>
          <w:noProof/>
          <w:lang w:eastAsia="cs-CZ"/>
        </w:rPr>
        <w:drawing>
          <wp:inline distT="0" distB="0" distL="0" distR="0" wp14:anchorId="2371F1F9" wp14:editId="655CA337">
            <wp:extent cx="2221230" cy="201930"/>
            <wp:effectExtent l="0" t="0" r="7620" b="7620"/>
            <wp:docPr id="17" name="Obráze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1230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A6A321" w14:textId="77777777" w:rsidR="003F236E" w:rsidRDefault="003F236E" w:rsidP="0064671D">
      <w:pPr>
        <w:spacing w:after="40"/>
        <w:jc w:val="left"/>
        <w:rPr>
          <w:noProof/>
        </w:rPr>
      </w:pPr>
    </w:p>
    <w:p w14:paraId="1DF34795" w14:textId="1E1203FC" w:rsidR="0064671D" w:rsidRDefault="0064671D" w:rsidP="0064671D">
      <w:pPr>
        <w:spacing w:after="40"/>
        <w:jc w:val="left"/>
        <w:rPr>
          <w:noProof/>
        </w:rPr>
      </w:pPr>
      <w:r>
        <w:rPr>
          <w:noProof/>
        </w:rPr>
        <w:t xml:space="preserve">Pokud naplníte, nic se neděje, funkci účetní závěrky můžete </w:t>
      </w:r>
      <w:r w:rsidRPr="005452EA">
        <w:rPr>
          <w:b/>
          <w:noProof/>
        </w:rPr>
        <w:t>opakovaně spouštět</w:t>
      </w:r>
      <w:r>
        <w:rPr>
          <w:noProof/>
        </w:rPr>
        <w:t xml:space="preserve"> v libovolných periodách až do doby, kdy se rozhodnete rok 202</w:t>
      </w:r>
      <w:r w:rsidR="007F4E8B">
        <w:rPr>
          <w:noProof/>
        </w:rPr>
        <w:t>3</w:t>
      </w:r>
      <w:r>
        <w:rPr>
          <w:noProof/>
        </w:rPr>
        <w:t xml:space="preserve"> uzavřít. Vždy dojde k přepsání počátečních stavů roku 202</w:t>
      </w:r>
      <w:r w:rsidR="007F4E8B">
        <w:rPr>
          <w:noProof/>
        </w:rPr>
        <w:t>4</w:t>
      </w:r>
      <w:r w:rsidR="00AA3233">
        <w:rPr>
          <w:noProof/>
        </w:rPr>
        <w:t xml:space="preserve"> bez vlivu na položky saldokont</w:t>
      </w:r>
      <w:r>
        <w:rPr>
          <w:noProof/>
        </w:rPr>
        <w:t>. Rozhodně nezapomeňte po zaúčtování daňové povinnosti roku 202</w:t>
      </w:r>
      <w:r w:rsidR="007F4E8B">
        <w:rPr>
          <w:noProof/>
        </w:rPr>
        <w:t>3</w:t>
      </w:r>
      <w:r>
        <w:rPr>
          <w:noProof/>
        </w:rPr>
        <w:t xml:space="preserve"> do účetního období roku 202</w:t>
      </w:r>
      <w:r w:rsidR="007F4E8B">
        <w:rPr>
          <w:noProof/>
        </w:rPr>
        <w:t>3</w:t>
      </w:r>
      <w:r>
        <w:rPr>
          <w:noProof/>
        </w:rPr>
        <w:t xml:space="preserve"> a provedení závěrky, uzamknout účetní období, aby omylem někdo neúčtoval po auditu či podání daňového přiznání do roku 202</w:t>
      </w:r>
      <w:r w:rsidR="007F4E8B">
        <w:rPr>
          <w:noProof/>
        </w:rPr>
        <w:t>3</w:t>
      </w:r>
      <w:r>
        <w:rPr>
          <w:noProof/>
        </w:rPr>
        <w:t xml:space="preserve">. </w:t>
      </w:r>
    </w:p>
    <w:p w14:paraId="190DE44A" w14:textId="39A9CA9F" w:rsidR="0064671D" w:rsidRPr="005452EA" w:rsidRDefault="007F4E8B" w:rsidP="0064671D">
      <w:pPr>
        <w:pStyle w:val="Nadpis3"/>
        <w:rPr>
          <w:noProof/>
        </w:rPr>
      </w:pPr>
      <w:r>
        <w:rPr>
          <w:noProof/>
        </w:rPr>
        <w:t>Dále</w:t>
      </w:r>
      <w:r w:rsidR="0064671D" w:rsidRPr="005452EA">
        <w:rPr>
          <w:noProof/>
        </w:rPr>
        <w:t xml:space="preserve"> k funkci závěrky:</w:t>
      </w:r>
    </w:p>
    <w:p w14:paraId="0D22D779" w14:textId="339EBC22" w:rsidR="003F236E" w:rsidRDefault="0064671D" w:rsidP="0064671D">
      <w:pPr>
        <w:spacing w:after="40"/>
        <w:jc w:val="left"/>
        <w:rPr>
          <w:noProof/>
        </w:rPr>
      </w:pPr>
      <w:r>
        <w:rPr>
          <w:noProof/>
        </w:rPr>
        <w:t xml:space="preserve">Rozhodně zatrhněte </w:t>
      </w:r>
      <w:r w:rsidRPr="00B74560">
        <w:rPr>
          <w:b/>
          <w:noProof/>
        </w:rPr>
        <w:t>Doplnit a přepsat účetní parametry</w:t>
      </w:r>
      <w:r>
        <w:rPr>
          <w:noProof/>
        </w:rPr>
        <w:t xml:space="preserve">, ale při opakování závěrky již ponechejte nazatržené, aby se nepřepsaly změny, které byste následně v novém roce provedli. </w:t>
      </w:r>
    </w:p>
    <w:p w14:paraId="7B410147" w14:textId="6A61D6DB" w:rsidR="003F236E" w:rsidRDefault="003F236E" w:rsidP="0064671D">
      <w:pPr>
        <w:spacing w:after="40"/>
        <w:jc w:val="left"/>
        <w:rPr>
          <w:noProof/>
        </w:rPr>
      </w:pPr>
    </w:p>
    <w:p w14:paraId="44FBB776" w14:textId="07DAF6BC" w:rsidR="0064671D" w:rsidRDefault="0064671D" w:rsidP="0064671D">
      <w:pPr>
        <w:spacing w:after="40"/>
        <w:jc w:val="left"/>
        <w:rPr>
          <w:noProof/>
        </w:rPr>
      </w:pPr>
      <w:r>
        <w:rPr>
          <w:noProof/>
          <w:lang w:eastAsia="cs-CZ"/>
        </w:rPr>
        <w:drawing>
          <wp:inline distT="0" distB="0" distL="0" distR="0" wp14:anchorId="6FF039BE" wp14:editId="6DE410DA">
            <wp:extent cx="1817370" cy="190500"/>
            <wp:effectExtent l="0" t="0" r="0" b="0"/>
            <wp:docPr id="18" name="Obráze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737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383A2C" w14:textId="77777777" w:rsidR="003F236E" w:rsidRDefault="003F236E" w:rsidP="0064671D">
      <w:pPr>
        <w:spacing w:after="40"/>
        <w:jc w:val="left"/>
        <w:rPr>
          <w:noProof/>
        </w:rPr>
      </w:pPr>
    </w:p>
    <w:p w14:paraId="07B9F5C6" w14:textId="19008098" w:rsidR="0064671D" w:rsidRDefault="0064671D" w:rsidP="0064671D">
      <w:pPr>
        <w:spacing w:after="40"/>
        <w:jc w:val="left"/>
        <w:rPr>
          <w:noProof/>
        </w:rPr>
      </w:pPr>
      <w:r w:rsidRPr="00B74560">
        <w:rPr>
          <w:b/>
          <w:noProof/>
        </w:rPr>
        <w:t>Účtový rozvrh</w:t>
      </w:r>
      <w:r>
        <w:rPr>
          <w:noProof/>
        </w:rPr>
        <w:t xml:space="preserve"> nejspíše nebudete nastavovat ručně znovu, </w:t>
      </w:r>
    </w:p>
    <w:p w14:paraId="0416607C" w14:textId="1EB273BA" w:rsidR="0064671D" w:rsidRDefault="0064671D" w:rsidP="0064671D">
      <w:pPr>
        <w:spacing w:after="40"/>
        <w:jc w:val="left"/>
        <w:rPr>
          <w:noProof/>
        </w:rPr>
      </w:pPr>
      <w:r>
        <w:rPr>
          <w:noProof/>
        </w:rPr>
        <w:t xml:space="preserve">proto dejte </w:t>
      </w:r>
      <w:r w:rsidRPr="00B74560">
        <w:rPr>
          <w:b/>
          <w:noProof/>
        </w:rPr>
        <w:t>Naplnit</w:t>
      </w:r>
      <w:r>
        <w:rPr>
          <w:noProof/>
        </w:rPr>
        <w:t xml:space="preserve">. </w:t>
      </w:r>
    </w:p>
    <w:p w14:paraId="3F0E6DC1" w14:textId="036E5581" w:rsidR="003F236E" w:rsidRDefault="003F236E" w:rsidP="0064671D">
      <w:pPr>
        <w:spacing w:after="40"/>
        <w:jc w:val="left"/>
        <w:rPr>
          <w:noProof/>
        </w:rPr>
      </w:pPr>
      <w:r>
        <w:rPr>
          <w:noProof/>
          <w:lang w:eastAsia="cs-CZ"/>
        </w:rPr>
        <w:drawing>
          <wp:anchor distT="0" distB="0" distL="114300" distR="114300" simplePos="0" relativeHeight="251660288" behindDoc="0" locked="0" layoutInCell="1" allowOverlap="1" wp14:anchorId="2DEE52F1" wp14:editId="3AD2E944">
            <wp:simplePos x="0" y="0"/>
            <wp:positionH relativeFrom="margin">
              <wp:align>left</wp:align>
            </wp:positionH>
            <wp:positionV relativeFrom="paragraph">
              <wp:posOffset>80010</wp:posOffset>
            </wp:positionV>
            <wp:extent cx="1744345" cy="448945"/>
            <wp:effectExtent l="0" t="0" r="8255" b="8255"/>
            <wp:wrapNone/>
            <wp:docPr id="19" name="Obrázek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4345" cy="448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5DEE58B" w14:textId="7318C329" w:rsidR="003F236E" w:rsidRDefault="003F236E" w:rsidP="0064671D">
      <w:pPr>
        <w:spacing w:after="40"/>
        <w:jc w:val="left"/>
        <w:rPr>
          <w:noProof/>
        </w:rPr>
      </w:pPr>
    </w:p>
    <w:p w14:paraId="1803E88B" w14:textId="1CADBFCF" w:rsidR="003F236E" w:rsidRDefault="003F236E" w:rsidP="0064671D">
      <w:pPr>
        <w:spacing w:after="40"/>
        <w:jc w:val="left"/>
        <w:rPr>
          <w:noProof/>
        </w:rPr>
      </w:pPr>
    </w:p>
    <w:p w14:paraId="47F6BBC8" w14:textId="588E1140" w:rsidR="003F236E" w:rsidRDefault="003F236E" w:rsidP="0064671D">
      <w:pPr>
        <w:spacing w:after="40"/>
        <w:jc w:val="left"/>
        <w:rPr>
          <w:noProof/>
        </w:rPr>
      </w:pPr>
      <w:r w:rsidRPr="001E7840">
        <w:rPr>
          <w:b/>
          <w:noProof/>
        </w:rPr>
        <w:t>Číselníky</w:t>
      </w:r>
      <w:r>
        <w:rPr>
          <w:b/>
          <w:noProof/>
        </w:rPr>
        <w:t xml:space="preserve"> dejte naplnit, pokud je budete měnit, úpravu provedete v novém roce.</w:t>
      </w:r>
    </w:p>
    <w:p w14:paraId="3EF2ADD6" w14:textId="41094E16" w:rsidR="0064671D" w:rsidRPr="003D0423" w:rsidRDefault="0064671D" w:rsidP="003F236E">
      <w:pPr>
        <w:spacing w:line="259" w:lineRule="auto"/>
        <w:jc w:val="left"/>
        <w:rPr>
          <w:bCs/>
          <w:noProof/>
        </w:rPr>
      </w:pPr>
      <w:r w:rsidRPr="003D0423">
        <w:rPr>
          <w:bCs/>
          <w:noProof/>
        </w:rPr>
        <w:t>Touto funkcí se zakládají číselníky</w:t>
      </w:r>
      <w:r>
        <w:rPr>
          <w:bCs/>
          <w:noProof/>
        </w:rPr>
        <w:t xml:space="preserve"> účetnictví, skladů, odbytu a fakturace.</w:t>
      </w:r>
    </w:p>
    <w:p w14:paraId="7F03B30B" w14:textId="77777777" w:rsidR="0064671D" w:rsidRDefault="0064671D" w:rsidP="0064671D">
      <w:pPr>
        <w:spacing w:after="40"/>
        <w:jc w:val="left"/>
        <w:rPr>
          <w:noProof/>
        </w:rPr>
      </w:pPr>
      <w:r>
        <w:rPr>
          <w:noProof/>
          <w:lang w:eastAsia="cs-CZ"/>
        </w:rPr>
        <w:drawing>
          <wp:inline distT="0" distB="0" distL="0" distR="0" wp14:anchorId="61676B83" wp14:editId="57946538">
            <wp:extent cx="1800860" cy="678815"/>
            <wp:effectExtent l="0" t="0" r="8890" b="6985"/>
            <wp:docPr id="20" name="Obrázek 20" descr="Obsah obrázku tex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Obrázek 20" descr="Obsah obrázku text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860" cy="678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0A6A66" w14:textId="77777777" w:rsidR="00F86183" w:rsidRDefault="00F86183" w:rsidP="0064671D">
      <w:pPr>
        <w:spacing w:after="40"/>
        <w:jc w:val="left"/>
        <w:rPr>
          <w:noProof/>
        </w:rPr>
      </w:pPr>
    </w:p>
    <w:p w14:paraId="4BF8B810" w14:textId="1A99F14B" w:rsidR="0064671D" w:rsidRDefault="0064671D" w:rsidP="0064671D">
      <w:pPr>
        <w:spacing w:after="40"/>
        <w:jc w:val="left"/>
        <w:rPr>
          <w:noProof/>
        </w:rPr>
      </w:pPr>
      <w:r w:rsidRPr="000F5809">
        <w:rPr>
          <w:b/>
          <w:bCs/>
          <w:noProof/>
        </w:rPr>
        <w:t>Převádět členění rozvahových účtů</w:t>
      </w:r>
      <w:r>
        <w:rPr>
          <w:noProof/>
        </w:rPr>
        <w:t xml:space="preserve"> - jen tehdy, pokud rozvahové účty členíte střediskově nebo činnostmi nebo dalšími možnostmi členění.</w:t>
      </w:r>
      <w:r w:rsidR="00F86183">
        <w:rPr>
          <w:noProof/>
        </w:rPr>
        <w:t xml:space="preserve">   </w:t>
      </w:r>
      <w:r w:rsidR="00F86183" w:rsidRPr="00F86183">
        <w:rPr>
          <w:noProof/>
          <w:lang w:eastAsia="cs-CZ"/>
        </w:rPr>
        <w:t xml:space="preserve"> </w:t>
      </w:r>
      <w:r w:rsidR="00F86183">
        <w:rPr>
          <w:noProof/>
          <w:lang w:eastAsia="cs-CZ"/>
        </w:rPr>
        <w:drawing>
          <wp:inline distT="0" distB="0" distL="0" distR="0" wp14:anchorId="16F4694B" wp14:editId="397832DF">
            <wp:extent cx="1828800" cy="182880"/>
            <wp:effectExtent l="0" t="0" r="0" b="7620"/>
            <wp:docPr id="22" name="Obrázek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BA1C73" w14:textId="35E8A651" w:rsidR="0064671D" w:rsidRDefault="0064671D" w:rsidP="0064671D">
      <w:pPr>
        <w:spacing w:after="40"/>
        <w:jc w:val="left"/>
        <w:rPr>
          <w:noProof/>
        </w:rPr>
      </w:pPr>
      <w:r>
        <w:rPr>
          <w:noProof/>
        </w:rPr>
        <w:t>Funkce, která umožní naplňovat počáteční stavy účtů v případě, že jste účty použili v minulých obdobích a jejich stavy sice mají obraty vyvolané různými měnami či středisky, ale stav účtu=0</w:t>
      </w:r>
      <w:r w:rsidR="00E35D09">
        <w:rPr>
          <w:noProof/>
        </w:rPr>
        <w:t xml:space="preserve"> (pokud rozvahové účty členíte střediskově a požadujete převést obraty i když stav účtu = 0, volbu zatrhněte</w:t>
      </w:r>
      <w:r>
        <w:rPr>
          <w:noProof/>
        </w:rPr>
        <w:t>:</w:t>
      </w:r>
    </w:p>
    <w:p w14:paraId="41E22B10" w14:textId="77777777" w:rsidR="0064671D" w:rsidRDefault="0064671D" w:rsidP="0064671D">
      <w:pPr>
        <w:spacing w:after="40"/>
        <w:jc w:val="left"/>
        <w:rPr>
          <w:noProof/>
        </w:rPr>
      </w:pPr>
      <w:r>
        <w:rPr>
          <w:noProof/>
          <w:lang w:eastAsia="cs-CZ"/>
        </w:rPr>
        <w:drawing>
          <wp:inline distT="0" distB="0" distL="0" distR="0" wp14:anchorId="7E500D05" wp14:editId="60106982">
            <wp:extent cx="2194560" cy="182880"/>
            <wp:effectExtent l="0" t="0" r="0" b="7620"/>
            <wp:docPr id="23" name="Obrázek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456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9AE300" w14:textId="69AFBBFC" w:rsidR="0064671D" w:rsidRDefault="0064671D" w:rsidP="0064671D">
      <w:pPr>
        <w:spacing w:after="40"/>
        <w:jc w:val="left"/>
        <w:rPr>
          <w:noProof/>
        </w:rPr>
      </w:pPr>
      <w:r>
        <w:rPr>
          <w:noProof/>
        </w:rPr>
        <w:lastRenderedPageBreak/>
        <w:t>Zkontrolujte účet závěrky výběrem z účtového rozvrhu:</w:t>
      </w:r>
      <w:r w:rsidR="00F86183">
        <w:rPr>
          <w:noProof/>
        </w:rPr>
        <w:t xml:space="preserve">   </w:t>
      </w:r>
      <w:r>
        <w:rPr>
          <w:noProof/>
          <w:lang w:eastAsia="cs-CZ"/>
        </w:rPr>
        <w:drawing>
          <wp:inline distT="0" distB="0" distL="0" distR="0" wp14:anchorId="70AC8142" wp14:editId="24E7A36F">
            <wp:extent cx="1645920" cy="274320"/>
            <wp:effectExtent l="0" t="0" r="0" b="0"/>
            <wp:docPr id="24" name="Obrázek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5920" cy="274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0336D6" w14:textId="77777777" w:rsidR="0064671D" w:rsidRDefault="0064671D" w:rsidP="0064671D">
      <w:pPr>
        <w:spacing w:after="40"/>
        <w:jc w:val="left"/>
        <w:rPr>
          <w:noProof/>
        </w:rPr>
      </w:pPr>
      <w:r>
        <w:rPr>
          <w:noProof/>
        </w:rPr>
        <w:t>Pokud nepoužíváte srovnávací účtování s IFRS, položky pro IFRS nevyplňujte.</w:t>
      </w:r>
    </w:p>
    <w:p w14:paraId="7F5BA6A6" w14:textId="77777777" w:rsidR="0064671D" w:rsidRDefault="0064671D" w:rsidP="0064671D">
      <w:pPr>
        <w:spacing w:after="40"/>
        <w:jc w:val="left"/>
        <w:rPr>
          <w:noProof/>
        </w:rPr>
      </w:pPr>
      <w:r w:rsidRPr="003D0423">
        <w:rPr>
          <w:b/>
          <w:bCs/>
          <w:noProof/>
        </w:rPr>
        <w:t>Při opakování závěrky</w:t>
      </w:r>
      <w:r>
        <w:rPr>
          <w:noProof/>
        </w:rPr>
        <w:t xml:space="preserve"> zadáte vždy „Účtový rozvrh“: </w:t>
      </w:r>
      <w:r w:rsidRPr="00287E30">
        <w:rPr>
          <w:b/>
          <w:noProof/>
        </w:rPr>
        <w:t>Pouze doplnit dle počátečního stavu</w:t>
      </w:r>
      <w:r>
        <w:rPr>
          <w:noProof/>
        </w:rPr>
        <w:t>, aby nedocházelo k naplnění účtů do účtového rozvrhu, které jste předtím zrušili.</w:t>
      </w:r>
    </w:p>
    <w:p w14:paraId="7A1538B2" w14:textId="77777777" w:rsidR="0064671D" w:rsidRDefault="0064671D" w:rsidP="0064671D">
      <w:pPr>
        <w:spacing w:after="40"/>
        <w:jc w:val="left"/>
        <w:rPr>
          <w:noProof/>
        </w:rPr>
      </w:pPr>
      <w:r>
        <w:rPr>
          <w:noProof/>
        </w:rPr>
        <w:t>Vstup do eurozóny nevyplňujte.</w:t>
      </w:r>
    </w:p>
    <w:p w14:paraId="1B2CF163" w14:textId="06C6C574" w:rsidR="0064671D" w:rsidRDefault="0064671D" w:rsidP="0064671D">
      <w:pPr>
        <w:spacing w:after="40"/>
        <w:jc w:val="left"/>
      </w:pPr>
      <w:r>
        <w:t xml:space="preserve">Jakmile budete mít zatržítka nastavena, spusťte </w:t>
      </w:r>
      <w:r w:rsidRPr="00287E30">
        <w:rPr>
          <w:b/>
        </w:rPr>
        <w:t>Provést závěrku</w:t>
      </w:r>
      <w:r>
        <w:t>.</w:t>
      </w:r>
      <w:r w:rsidR="00F86183">
        <w:t xml:space="preserve">   </w:t>
      </w:r>
      <w:r>
        <w:t xml:space="preserve"> </w:t>
      </w:r>
      <w:r>
        <w:rPr>
          <w:noProof/>
          <w:lang w:eastAsia="cs-CZ"/>
        </w:rPr>
        <w:drawing>
          <wp:inline distT="0" distB="0" distL="0" distR="0" wp14:anchorId="6575A6DF" wp14:editId="6D8FB923">
            <wp:extent cx="1189355" cy="325120"/>
            <wp:effectExtent l="0" t="0" r="0" b="0"/>
            <wp:docPr id="26" name="Obrázek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9355" cy="325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352C06" w14:textId="77777777" w:rsidR="0064671D" w:rsidRDefault="0064671D" w:rsidP="0064671D">
      <w:pPr>
        <w:spacing w:after="40"/>
        <w:jc w:val="left"/>
        <w:rPr>
          <w:noProof/>
        </w:rPr>
      </w:pPr>
      <w:r>
        <w:t xml:space="preserve">Při </w:t>
      </w:r>
      <w:r>
        <w:rPr>
          <w:noProof/>
        </w:rPr>
        <w:t>opakování funkce účetní závěrka, pokud byste zadávali nové číselné řady nebo měnili souvztažnosti apod., je nutné zatržítko u příslušné volby zrušit. Mimo parametrů se číselníkové položky nepřepisují, tedy je možné ponechat i při opakování závěrky zatržené, pokud nebudete v číselnících dělat změny.</w:t>
      </w:r>
    </w:p>
    <w:p w14:paraId="60E6997A" w14:textId="7A7A91D8" w:rsidR="0064671D" w:rsidRDefault="0064671D" w:rsidP="0064671D">
      <w:pPr>
        <w:spacing w:after="40"/>
        <w:jc w:val="left"/>
        <w:rPr>
          <w:noProof/>
        </w:rPr>
      </w:pPr>
      <w:r>
        <w:rPr>
          <w:noProof/>
        </w:rPr>
        <w:t>Změňte období na 1/202</w:t>
      </w:r>
      <w:r w:rsidR="009F777C">
        <w:rPr>
          <w:noProof/>
        </w:rPr>
        <w:t>4</w:t>
      </w:r>
      <w:r>
        <w:rPr>
          <w:noProof/>
        </w:rPr>
        <w:t xml:space="preserve"> a můžete provádět změny nastavení. Číselníky účetnictví, skladů a fakturace budete mít naplněny. Závěrku ostatních modulů zde nepopisujeme, založení nového roku v evidencích majetku a mzdách se provádí samostatně.</w:t>
      </w:r>
    </w:p>
    <w:p w14:paraId="099AB91C" w14:textId="0CD780EE" w:rsidR="0064671D" w:rsidRDefault="0064671D" w:rsidP="0064671D">
      <w:pPr>
        <w:spacing w:after="40"/>
        <w:jc w:val="left"/>
        <w:rPr>
          <w:noProof/>
        </w:rPr>
      </w:pPr>
      <w:r>
        <w:rPr>
          <w:noProof/>
        </w:rPr>
        <w:t>Objevují se dotazy, zda každý rok zakládat nové číselné řady (uskutečněné a přijaté plnění). Odpovědí je, že záleží na počtu dokladů. Číslo dokladu je 6-ti místné, pokud vyhovuje, že se do 5. a 6. řádu zakóduje rok (2</w:t>
      </w:r>
      <w:r w:rsidR="009F777C">
        <w:rPr>
          <w:noProof/>
        </w:rPr>
        <w:t>4</w:t>
      </w:r>
      <w:r>
        <w:rPr>
          <w:noProof/>
        </w:rPr>
        <w:t xml:space="preserve">0001), pak pokud nebude mít více než </w:t>
      </w:r>
      <w:r w:rsidRPr="00A66213">
        <w:rPr>
          <w:noProof/>
        </w:rPr>
        <w:t>9999</w:t>
      </w:r>
      <w:r>
        <w:rPr>
          <w:noProof/>
        </w:rPr>
        <w:t xml:space="preserve"> dokladů v řadě za rok, není nutné zakládat novou číselnou řadu. </w:t>
      </w:r>
      <w:r w:rsidRPr="00880CD5">
        <w:rPr>
          <w:noProof/>
        </w:rPr>
        <w:t xml:space="preserve">Alternativně je možné první doklad v číselné řadě označit číslem dokladu </w:t>
      </w:r>
      <w:r w:rsidR="009F777C">
        <w:rPr>
          <w:noProof/>
        </w:rPr>
        <w:t>4</w:t>
      </w:r>
      <w:r w:rsidRPr="00880CD5">
        <w:rPr>
          <w:noProof/>
        </w:rPr>
        <w:t xml:space="preserve">00001, potom by dokladů v řadě mohlo být 99999. </w:t>
      </w:r>
      <w:r>
        <w:rPr>
          <w:noProof/>
        </w:rPr>
        <w:t xml:space="preserve">To provedete tak, že první číslo dokladu přepíšete. </w:t>
      </w:r>
      <w:r w:rsidRPr="00880CD5">
        <w:rPr>
          <w:noProof/>
        </w:rPr>
        <w:t>Pokud</w:t>
      </w:r>
      <w:r>
        <w:rPr>
          <w:noProof/>
        </w:rPr>
        <w:t xml:space="preserve"> v číselné řadě daného roku není žádný doklad, program Vám sám, při ručním pořizování dokladů, nabídne zakódovat rok do čísla dokladu. Např. pro řadu „D“: </w:t>
      </w:r>
    </w:p>
    <w:p w14:paraId="7927A7C4" w14:textId="77777777" w:rsidR="00F86183" w:rsidRDefault="00F86183" w:rsidP="0064671D">
      <w:pPr>
        <w:spacing w:after="40"/>
        <w:jc w:val="left"/>
        <w:rPr>
          <w:noProof/>
        </w:rPr>
      </w:pPr>
    </w:p>
    <w:p w14:paraId="0FBC2E35" w14:textId="71B60667" w:rsidR="0064671D" w:rsidRDefault="009F777C" w:rsidP="0064671D">
      <w:pPr>
        <w:spacing w:after="40"/>
        <w:jc w:val="left"/>
        <w:rPr>
          <w:noProof/>
        </w:rPr>
      </w:pPr>
      <w:r>
        <w:rPr>
          <w:noProof/>
        </w:rPr>
        <w:drawing>
          <wp:inline distT="0" distB="0" distL="0" distR="0" wp14:anchorId="6F20A27D" wp14:editId="52068607">
            <wp:extent cx="3448050" cy="1143000"/>
            <wp:effectExtent l="0" t="0" r="0" b="0"/>
            <wp:docPr id="47148057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148057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344805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A3C526" w14:textId="65CF258F" w:rsidR="00F86183" w:rsidRDefault="00F86183" w:rsidP="0064671D">
      <w:pPr>
        <w:spacing w:after="40"/>
        <w:jc w:val="left"/>
        <w:rPr>
          <w:noProof/>
        </w:rPr>
      </w:pPr>
    </w:p>
    <w:p w14:paraId="56E0D3B0" w14:textId="77777777" w:rsidR="00F86183" w:rsidRDefault="00F86183" w:rsidP="0064671D">
      <w:pPr>
        <w:spacing w:after="40"/>
        <w:jc w:val="left"/>
        <w:rPr>
          <w:noProof/>
        </w:rPr>
      </w:pPr>
    </w:p>
    <w:p w14:paraId="41456239" w14:textId="48D54333" w:rsidR="0064671D" w:rsidRDefault="0064671D" w:rsidP="0064671D">
      <w:pPr>
        <w:spacing w:after="40"/>
        <w:jc w:val="left"/>
        <w:rPr>
          <w:noProof/>
        </w:rPr>
      </w:pPr>
      <w:r>
        <w:rPr>
          <w:noProof/>
        </w:rPr>
        <w:t>POZOR! Pokud importujete do číselné řady doklady, nebo je vkládáte pomocníky z výdejek, objednávek a podobně, v případě, že potřebujete nastavit číslování, stačí do číselné řady pořídit nový prázdný doklad, kterému před uložením nastavíte číslo dokladu, např. na 2</w:t>
      </w:r>
      <w:r w:rsidR="009F777C">
        <w:rPr>
          <w:noProof/>
        </w:rPr>
        <w:t>4</w:t>
      </w:r>
      <w:r>
        <w:rPr>
          <w:noProof/>
        </w:rPr>
        <w:t xml:space="preserve">0000, program poté čísluje doklady od takto vytvořeného dokladu. Hlášení o zrušení dokladu při uložení: </w:t>
      </w:r>
      <w:r>
        <w:rPr>
          <w:noProof/>
          <w:lang w:eastAsia="cs-CZ"/>
        </w:rPr>
        <w:drawing>
          <wp:inline distT="0" distB="0" distL="0" distR="0" wp14:anchorId="7BBA6157" wp14:editId="3835381F">
            <wp:extent cx="3286125" cy="638175"/>
            <wp:effectExtent l="0" t="0" r="9525" b="9525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D5FCAD" w14:textId="77777777" w:rsidR="0064671D" w:rsidRDefault="0064671D" w:rsidP="0064671D">
      <w:pPr>
        <w:spacing w:after="40"/>
        <w:jc w:val="left"/>
        <w:rPr>
          <w:noProof/>
        </w:rPr>
      </w:pPr>
      <w:r>
        <w:rPr>
          <w:noProof/>
        </w:rPr>
        <w:lastRenderedPageBreak/>
        <w:t xml:space="preserve">Následuje dotaz, zda uložit. Případně doklad přečíslujte funkcí </w:t>
      </w:r>
      <w:r>
        <w:rPr>
          <w:noProof/>
        </w:rPr>
        <w:drawing>
          <wp:inline distT="0" distB="0" distL="0" distR="0" wp14:anchorId="6CB6DE4B" wp14:editId="3E7AC5B4">
            <wp:extent cx="2618740" cy="1126490"/>
            <wp:effectExtent l="0" t="0" r="0" b="0"/>
            <wp:docPr id="10" name="Obráze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8740" cy="1126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4B35C4" w14:textId="0DADB61E" w:rsidR="0064671D" w:rsidRDefault="0034741F" w:rsidP="0034741F">
      <w:pPr>
        <w:rPr>
          <w:rFonts w:eastAsiaTheme="majorEastAsia"/>
        </w:rPr>
      </w:pPr>
      <w:r>
        <w:rPr>
          <w:rFonts w:eastAsiaTheme="majorEastAsia"/>
        </w:rPr>
        <w:t xml:space="preserve">V nápovědě Vision ERP je také </w:t>
      </w:r>
      <w:hyperlink r:id="rId29" w:history="1">
        <w:r w:rsidRPr="0034741F">
          <w:rPr>
            <w:rStyle w:val="Hypertextovodkaz"/>
            <w:rFonts w:eastAsiaTheme="majorEastAsia"/>
          </w:rPr>
          <w:t>podrobný popis závěrkových operací</w:t>
        </w:r>
      </w:hyperlink>
      <w:r>
        <w:rPr>
          <w:rFonts w:eastAsiaTheme="majorEastAsia"/>
        </w:rPr>
        <w:t xml:space="preserve">. </w:t>
      </w:r>
    </w:p>
    <w:p w14:paraId="17CE79C8" w14:textId="77777777" w:rsidR="007370BD" w:rsidRDefault="007370BD" w:rsidP="007370BD">
      <w:pPr>
        <w:pStyle w:val="Nadpis3"/>
      </w:pPr>
    </w:p>
    <w:p w14:paraId="28B59384" w14:textId="4C0C881C" w:rsidR="00E35D09" w:rsidRDefault="007370BD" w:rsidP="007370BD">
      <w:pPr>
        <w:pStyle w:val="Nadpis3"/>
      </w:pPr>
      <w:r>
        <w:t xml:space="preserve">Klikni na odkaz: </w:t>
      </w:r>
      <w:hyperlink r:id="rId30" w:history="1">
        <w:r w:rsidR="00E35D09" w:rsidRPr="007370BD">
          <w:rPr>
            <w:rStyle w:val="Hypertextovodkaz"/>
          </w:rPr>
          <w:t>Změna legislativy od 1.1.2024</w:t>
        </w:r>
      </w:hyperlink>
    </w:p>
    <w:p w14:paraId="6F92BC4C" w14:textId="77777777" w:rsidR="0055522B" w:rsidRDefault="0055522B" w:rsidP="0032261B">
      <w:pPr>
        <w:jc w:val="left"/>
        <w:rPr>
          <w:rFonts w:eastAsiaTheme="majorEastAsia"/>
        </w:rPr>
      </w:pPr>
    </w:p>
    <w:p w14:paraId="428465EF" w14:textId="77777777" w:rsidR="007370BD" w:rsidRDefault="007370BD" w:rsidP="0032261B">
      <w:pPr>
        <w:jc w:val="left"/>
        <w:rPr>
          <w:rFonts w:eastAsiaTheme="majorEastAsia"/>
        </w:rPr>
      </w:pPr>
    </w:p>
    <w:p w14:paraId="05A05C72" w14:textId="77777777" w:rsidR="007370BD" w:rsidRDefault="007370BD" w:rsidP="0032261B">
      <w:pPr>
        <w:jc w:val="left"/>
        <w:rPr>
          <w:rFonts w:eastAsiaTheme="majorEastAsia"/>
        </w:rPr>
      </w:pPr>
    </w:p>
    <w:p w14:paraId="54E95076" w14:textId="77777777" w:rsidR="007370BD" w:rsidRDefault="007370BD" w:rsidP="0032261B">
      <w:pPr>
        <w:jc w:val="left"/>
        <w:rPr>
          <w:rFonts w:eastAsiaTheme="majorEastAsia"/>
        </w:rPr>
      </w:pPr>
    </w:p>
    <w:p w14:paraId="1C8BFCF1" w14:textId="77777777" w:rsidR="007370BD" w:rsidRDefault="007370BD" w:rsidP="0032261B">
      <w:pPr>
        <w:jc w:val="left"/>
        <w:rPr>
          <w:rFonts w:eastAsiaTheme="majorEastAsia"/>
        </w:rPr>
      </w:pPr>
    </w:p>
    <w:p w14:paraId="01F864E4" w14:textId="77777777" w:rsidR="007370BD" w:rsidRDefault="007370BD" w:rsidP="0032261B">
      <w:pPr>
        <w:jc w:val="left"/>
        <w:rPr>
          <w:rFonts w:eastAsiaTheme="majorEastAsia"/>
        </w:rPr>
      </w:pPr>
    </w:p>
    <w:p w14:paraId="4068E22D" w14:textId="77777777" w:rsidR="0055522B" w:rsidRPr="0032261B" w:rsidRDefault="0055522B" w:rsidP="0032261B">
      <w:pPr>
        <w:jc w:val="left"/>
        <w:rPr>
          <w:rFonts w:eastAsiaTheme="majorEastAsia"/>
        </w:rPr>
      </w:pPr>
    </w:p>
    <w:p w14:paraId="774C403F" w14:textId="77777777" w:rsidR="0055522B" w:rsidRDefault="0064671D" w:rsidP="0055522B">
      <w:pPr>
        <w:pStyle w:val="Podnadpis"/>
        <w:spacing w:after="40"/>
        <w:jc w:val="left"/>
        <w:rPr>
          <w:b/>
        </w:rPr>
      </w:pPr>
      <w:r w:rsidRPr="00E942F6">
        <w:rPr>
          <w:b/>
        </w:rPr>
        <w:t>Do roku 20</w:t>
      </w:r>
      <w:r>
        <w:rPr>
          <w:b/>
        </w:rPr>
        <w:t>2</w:t>
      </w:r>
      <w:r w:rsidR="009F777C">
        <w:rPr>
          <w:b/>
        </w:rPr>
        <w:t>4</w:t>
      </w:r>
      <w:r w:rsidRPr="00E942F6">
        <w:rPr>
          <w:b/>
        </w:rPr>
        <w:t xml:space="preserve"> přejeme všem uživatelům aplikací společnost</w:t>
      </w:r>
      <w:r>
        <w:rPr>
          <w:b/>
        </w:rPr>
        <w:t>í</w:t>
      </w:r>
      <w:r w:rsidRPr="00E942F6">
        <w:rPr>
          <w:b/>
        </w:rPr>
        <w:t xml:space="preserve"> Vision</w:t>
      </w:r>
      <w:r w:rsidR="00F86183">
        <w:rPr>
          <w:b/>
        </w:rPr>
        <w:t xml:space="preserve"> </w:t>
      </w:r>
      <w:r w:rsidRPr="00E942F6">
        <w:rPr>
          <w:b/>
        </w:rPr>
        <w:t>hodně štěstí, pohody a stále dobr</w:t>
      </w:r>
      <w:r>
        <w:rPr>
          <w:b/>
        </w:rPr>
        <w:t>ou</w:t>
      </w:r>
      <w:r w:rsidRPr="00E942F6">
        <w:rPr>
          <w:b/>
        </w:rPr>
        <w:t xml:space="preserve"> nálad</w:t>
      </w:r>
      <w:r>
        <w:rPr>
          <w:b/>
        </w:rPr>
        <w:t>u</w:t>
      </w:r>
      <w:r w:rsidRPr="00E942F6">
        <w:rPr>
          <w:b/>
        </w:rPr>
        <w:t>.</w:t>
      </w:r>
    </w:p>
    <w:p w14:paraId="50FA6B2A" w14:textId="12B9A71A" w:rsidR="00F86183" w:rsidRPr="0055522B" w:rsidRDefault="0055522B" w:rsidP="0055522B">
      <w:pPr>
        <w:pStyle w:val="Podnadpis"/>
        <w:spacing w:after="40"/>
        <w:jc w:val="right"/>
        <w:rPr>
          <w:b/>
        </w:rPr>
      </w:pPr>
      <w:r>
        <w:rPr>
          <w:b/>
        </w:rPr>
        <w:br/>
      </w:r>
      <w:r w:rsidR="00F86183">
        <w:t>Tým Vision software s.r.o.</w:t>
      </w:r>
    </w:p>
    <w:p w14:paraId="1B9B4B44" w14:textId="41CF13CC" w:rsidR="009F777C" w:rsidRPr="009F777C" w:rsidRDefault="009F777C" w:rsidP="009F777C">
      <w:pPr>
        <w:tabs>
          <w:tab w:val="left" w:pos="930"/>
        </w:tabs>
      </w:pPr>
    </w:p>
    <w:sectPr w:rsidR="009F777C" w:rsidRPr="009F777C" w:rsidSect="00A62576">
      <w:headerReference w:type="even" r:id="rId31"/>
      <w:headerReference w:type="default" r:id="rId32"/>
      <w:footerReference w:type="even" r:id="rId33"/>
      <w:footerReference w:type="default" r:id="rId34"/>
      <w:headerReference w:type="first" r:id="rId35"/>
      <w:footerReference w:type="first" r:id="rId36"/>
      <w:pgSz w:w="11906" w:h="16838"/>
      <w:pgMar w:top="2440" w:right="1133" w:bottom="1135" w:left="1133" w:header="708" w:footer="276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35A5BD" w14:textId="77777777" w:rsidR="00B0295D" w:rsidRDefault="00B0295D" w:rsidP="00D72364">
      <w:pPr>
        <w:spacing w:after="0" w:line="240" w:lineRule="auto"/>
      </w:pPr>
      <w:r>
        <w:separator/>
      </w:r>
    </w:p>
  </w:endnote>
  <w:endnote w:type="continuationSeparator" w:id="0">
    <w:p w14:paraId="1235F609" w14:textId="77777777" w:rsidR="00B0295D" w:rsidRDefault="00B0295D" w:rsidP="00D723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13288" w14:textId="77777777" w:rsidR="002E4F17" w:rsidRDefault="002E4F1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081C92" w14:textId="4C3CD38C" w:rsidR="009F777C" w:rsidRDefault="009F777C" w:rsidP="009F777C">
    <w:pPr>
      <w:pStyle w:val="Zpat"/>
      <w:tabs>
        <w:tab w:val="clear" w:pos="9072"/>
        <w:tab w:val="left" w:pos="4536"/>
        <w:tab w:val="left" w:pos="6521"/>
        <w:tab w:val="left" w:pos="8364"/>
      </w:tabs>
      <w:ind w:left="-851" w:right="-851"/>
      <w:rPr>
        <w:rFonts w:ascii="Tahoma" w:hAnsi="Tahoma" w:cs="Tahoma"/>
        <w:color w:val="0046BB"/>
        <w:sz w:val="15"/>
        <w:szCs w:val="15"/>
      </w:rPr>
    </w:pPr>
    <w:r>
      <w:rPr>
        <w:rFonts w:ascii="Tahoma" w:hAnsi="Tahoma" w:cs="Tahoma"/>
        <w:color w:val="0046BB"/>
        <w:sz w:val="15"/>
        <w:szCs w:val="15"/>
      </w:rPr>
      <w:t>Vision software s.r.o.</w:t>
    </w:r>
    <w:r>
      <w:rPr>
        <w:rFonts w:ascii="Tahoma" w:hAnsi="Tahoma" w:cs="Tahoma"/>
        <w:color w:val="0046BB"/>
        <w:sz w:val="15"/>
        <w:szCs w:val="15"/>
      </w:rPr>
      <w:tab/>
    </w:r>
    <w:r>
      <w:rPr>
        <w:rFonts w:ascii="Tahoma" w:hAnsi="Tahoma" w:cs="Tahoma"/>
        <w:color w:val="0046BB"/>
        <w:sz w:val="15"/>
        <w:szCs w:val="15"/>
      </w:rPr>
      <w:tab/>
      <w:t>Vision software s.r.o.</w:t>
    </w:r>
  </w:p>
  <w:p w14:paraId="1E4954E0" w14:textId="46DF243B" w:rsidR="009F777C" w:rsidRDefault="009F777C" w:rsidP="0097689C">
    <w:pPr>
      <w:pStyle w:val="Zpat"/>
      <w:tabs>
        <w:tab w:val="clear" w:pos="9072"/>
        <w:tab w:val="left" w:pos="4536"/>
        <w:tab w:val="left" w:pos="6521"/>
        <w:tab w:val="left" w:pos="8364"/>
      </w:tabs>
      <w:ind w:left="-851" w:right="-851"/>
      <w:rPr>
        <w:rFonts w:ascii="Tahoma" w:hAnsi="Tahoma" w:cs="Tahoma"/>
        <w:color w:val="0046BB"/>
        <w:sz w:val="15"/>
        <w:szCs w:val="15"/>
      </w:rPr>
    </w:pPr>
    <w:r>
      <w:rPr>
        <w:rFonts w:ascii="Tahoma" w:hAnsi="Tahoma" w:cs="Tahoma"/>
        <w:color w:val="0046BB"/>
        <w:sz w:val="15"/>
        <w:szCs w:val="15"/>
      </w:rPr>
      <w:t>Střední novosadská 16/32</w:t>
    </w:r>
    <w:r>
      <w:rPr>
        <w:rFonts w:ascii="Tahoma" w:hAnsi="Tahoma" w:cs="Tahoma"/>
        <w:color w:val="0046BB"/>
        <w:sz w:val="15"/>
        <w:szCs w:val="15"/>
      </w:rPr>
      <w:tab/>
    </w:r>
    <w:r>
      <w:rPr>
        <w:rFonts w:ascii="Tahoma" w:hAnsi="Tahoma" w:cs="Tahoma"/>
        <w:color w:val="0046BB"/>
        <w:sz w:val="15"/>
        <w:szCs w:val="15"/>
      </w:rPr>
      <w:tab/>
      <w:t xml:space="preserve">Obrovského </w:t>
    </w:r>
    <w:r w:rsidR="00DA5AE9">
      <w:rPr>
        <w:rFonts w:ascii="Tahoma" w:hAnsi="Tahoma" w:cs="Tahoma"/>
        <w:color w:val="0046BB"/>
        <w:sz w:val="15"/>
        <w:szCs w:val="15"/>
      </w:rPr>
      <w:t>418</w:t>
    </w:r>
  </w:p>
  <w:p w14:paraId="65015A91" w14:textId="3CE11CCB" w:rsidR="009F777C" w:rsidRPr="004D0B97" w:rsidRDefault="009F777C" w:rsidP="0097689C">
    <w:pPr>
      <w:pStyle w:val="Zpat"/>
      <w:tabs>
        <w:tab w:val="clear" w:pos="9072"/>
        <w:tab w:val="left" w:pos="4536"/>
        <w:tab w:val="left" w:pos="6521"/>
        <w:tab w:val="left" w:pos="8364"/>
      </w:tabs>
      <w:ind w:left="-851" w:right="-851"/>
      <w:rPr>
        <w:rFonts w:ascii="Tahoma" w:hAnsi="Tahoma" w:cs="Tahoma"/>
        <w:color w:val="0046BB"/>
        <w:sz w:val="15"/>
        <w:szCs w:val="15"/>
      </w:rPr>
    </w:pPr>
    <w:r>
      <w:rPr>
        <w:rFonts w:ascii="Tahoma" w:hAnsi="Tahoma" w:cs="Tahoma"/>
        <w:color w:val="0046BB"/>
        <w:sz w:val="15"/>
        <w:szCs w:val="15"/>
      </w:rPr>
      <w:t>Nové Sady</w:t>
    </w:r>
    <w:r w:rsidR="002E4F17">
      <w:rPr>
        <w:rFonts w:ascii="Tahoma" w:hAnsi="Tahoma" w:cs="Tahoma"/>
        <w:color w:val="0046BB"/>
        <w:sz w:val="15"/>
        <w:szCs w:val="15"/>
      </w:rPr>
      <w:t>,</w:t>
    </w:r>
    <w:r>
      <w:rPr>
        <w:rFonts w:ascii="Tahoma" w:hAnsi="Tahoma" w:cs="Tahoma"/>
        <w:color w:val="0046BB"/>
        <w:sz w:val="15"/>
        <w:szCs w:val="15"/>
      </w:rPr>
      <w:t xml:space="preserve"> 779 00</w:t>
    </w:r>
    <w:r w:rsidR="002E4F17">
      <w:rPr>
        <w:rFonts w:ascii="Tahoma" w:hAnsi="Tahoma" w:cs="Tahoma"/>
        <w:color w:val="0046BB"/>
        <w:sz w:val="15"/>
        <w:szCs w:val="15"/>
      </w:rPr>
      <w:t>,</w:t>
    </w:r>
    <w:r>
      <w:rPr>
        <w:rFonts w:ascii="Tahoma" w:hAnsi="Tahoma" w:cs="Tahoma"/>
        <w:color w:val="0046BB"/>
        <w:sz w:val="15"/>
        <w:szCs w:val="15"/>
      </w:rPr>
      <w:t xml:space="preserve"> Olomouc</w:t>
    </w:r>
    <w:r w:rsidR="00DA5AE9">
      <w:rPr>
        <w:rFonts w:ascii="Tahoma" w:hAnsi="Tahoma" w:cs="Tahoma"/>
        <w:color w:val="0046BB"/>
        <w:sz w:val="15"/>
        <w:szCs w:val="15"/>
      </w:rPr>
      <w:tab/>
    </w:r>
    <w:r w:rsidR="00DA5AE9">
      <w:rPr>
        <w:rFonts w:ascii="Tahoma" w:hAnsi="Tahoma" w:cs="Tahoma"/>
        <w:color w:val="0046BB"/>
        <w:sz w:val="15"/>
        <w:szCs w:val="15"/>
      </w:rPr>
      <w:tab/>
      <w:t>Chodov</w:t>
    </w:r>
    <w:r w:rsidR="002E4F17">
      <w:rPr>
        <w:rFonts w:ascii="Tahoma" w:hAnsi="Tahoma" w:cs="Tahoma"/>
        <w:color w:val="0046BB"/>
        <w:sz w:val="15"/>
        <w:szCs w:val="15"/>
      </w:rPr>
      <w:t>, 141 00, Praha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5DDF62" w14:textId="77777777" w:rsidR="002E4F17" w:rsidRDefault="002E4F1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8EEDC3" w14:textId="77777777" w:rsidR="00B0295D" w:rsidRDefault="00B0295D" w:rsidP="00D72364">
      <w:pPr>
        <w:spacing w:after="0" w:line="240" w:lineRule="auto"/>
      </w:pPr>
      <w:r>
        <w:separator/>
      </w:r>
    </w:p>
  </w:footnote>
  <w:footnote w:type="continuationSeparator" w:id="0">
    <w:p w14:paraId="6516EB66" w14:textId="77777777" w:rsidR="00B0295D" w:rsidRDefault="00B0295D" w:rsidP="00D723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8AA7B0" w14:textId="77777777" w:rsidR="002E4F17" w:rsidRDefault="002E4F1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33254" w14:textId="58A807CA" w:rsidR="00D72364" w:rsidRDefault="00620679">
    <w:pPr>
      <w:pStyle w:val="Zhlav"/>
    </w:pPr>
    <w:r>
      <w:rPr>
        <w:noProof/>
      </w:rPr>
      <w:drawing>
        <wp:anchor distT="0" distB="0" distL="114300" distR="114300" simplePos="0" relativeHeight="251658240" behindDoc="1" locked="1" layoutInCell="1" allowOverlap="0" wp14:anchorId="413FC57F" wp14:editId="38DCA9C4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77455" cy="1388110"/>
          <wp:effectExtent l="0" t="0" r="4445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7570" cy="1388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025400" w14:textId="77777777" w:rsidR="002E4F17" w:rsidRDefault="002E4F1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E2F11"/>
    <w:multiLevelType w:val="hybridMultilevel"/>
    <w:tmpl w:val="CD7A42BA"/>
    <w:lvl w:ilvl="0" w:tplc="54CC70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3E0"/>
        <w:sz w:val="32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2FEA930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0017B0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695929"/>
    <w:multiLevelType w:val="hybridMultilevel"/>
    <w:tmpl w:val="6CD6E964"/>
    <w:lvl w:ilvl="0" w:tplc="54CC70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3E0"/>
        <w:sz w:val="32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9B4D83"/>
    <w:multiLevelType w:val="hybridMultilevel"/>
    <w:tmpl w:val="5A7255D2"/>
    <w:lvl w:ilvl="0" w:tplc="54CC70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3E0"/>
        <w:sz w:val="32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2DACE56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054AB8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8C2852"/>
    <w:multiLevelType w:val="hybridMultilevel"/>
    <w:tmpl w:val="30C8E9C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D547A75"/>
    <w:multiLevelType w:val="hybridMultilevel"/>
    <w:tmpl w:val="C8FAAECE"/>
    <w:lvl w:ilvl="0" w:tplc="54CC70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3E0"/>
        <w:sz w:val="32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A43FAC"/>
    <w:multiLevelType w:val="hybridMultilevel"/>
    <w:tmpl w:val="6E7860FC"/>
    <w:lvl w:ilvl="0" w:tplc="62048792">
      <w:numFmt w:val="bullet"/>
      <w:lvlText w:val="-"/>
      <w:lvlJc w:val="left"/>
      <w:pPr>
        <w:ind w:left="360" w:hanging="360"/>
      </w:pPr>
      <w:rPr>
        <w:rFonts w:ascii="Calibri Light" w:eastAsiaTheme="majorEastAsia" w:hAnsi="Calibri Light" w:cs="Calibri Light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7D7566A"/>
    <w:multiLevelType w:val="hybridMultilevel"/>
    <w:tmpl w:val="AFEA211E"/>
    <w:lvl w:ilvl="0" w:tplc="54CC70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3E0"/>
        <w:sz w:val="32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A97CF1"/>
    <w:multiLevelType w:val="hybridMultilevel"/>
    <w:tmpl w:val="1B7CD468"/>
    <w:lvl w:ilvl="0" w:tplc="54CC70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3E0"/>
        <w:sz w:val="32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E64686"/>
    <w:multiLevelType w:val="hybridMultilevel"/>
    <w:tmpl w:val="A6E29FBA"/>
    <w:lvl w:ilvl="0" w:tplc="54CC70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3E0"/>
        <w:sz w:val="32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2CE0EA8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0A0A47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CD1B22"/>
    <w:multiLevelType w:val="hybridMultilevel"/>
    <w:tmpl w:val="456A44D6"/>
    <w:lvl w:ilvl="0" w:tplc="54CC70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3E0"/>
        <w:sz w:val="32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33898EA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497668"/>
    <w:multiLevelType w:val="hybridMultilevel"/>
    <w:tmpl w:val="653627E4"/>
    <w:lvl w:ilvl="0" w:tplc="8A348B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3E0"/>
        <w:sz w:val="28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621B10"/>
    <w:multiLevelType w:val="hybridMultilevel"/>
    <w:tmpl w:val="6E38E4F0"/>
    <w:lvl w:ilvl="0" w:tplc="88C42790">
      <w:start w:val="1"/>
      <w:numFmt w:val="decimal"/>
      <w:pStyle w:val="Nadpis2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007B90"/>
    <w:multiLevelType w:val="hybridMultilevel"/>
    <w:tmpl w:val="169CCA4C"/>
    <w:lvl w:ilvl="0" w:tplc="54CC70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3E0"/>
        <w:sz w:val="32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8744A6E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0E6C17"/>
    <w:multiLevelType w:val="hybridMultilevel"/>
    <w:tmpl w:val="DC7E8E72"/>
    <w:lvl w:ilvl="0" w:tplc="54CC70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3E0"/>
        <w:sz w:val="32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6745169">
    <w:abstractNumId w:val="4"/>
  </w:num>
  <w:num w:numId="2" w16cid:durableId="686711315">
    <w:abstractNumId w:val="10"/>
  </w:num>
  <w:num w:numId="3" w16cid:durableId="2024242172">
    <w:abstractNumId w:val="6"/>
  </w:num>
  <w:num w:numId="4" w16cid:durableId="772091680">
    <w:abstractNumId w:val="7"/>
  </w:num>
  <w:num w:numId="5" w16cid:durableId="1977567528">
    <w:abstractNumId w:val="13"/>
  </w:num>
  <w:num w:numId="6" w16cid:durableId="1261332076">
    <w:abstractNumId w:val="1"/>
  </w:num>
  <w:num w:numId="7" w16cid:durableId="1213539902">
    <w:abstractNumId w:val="2"/>
  </w:num>
  <w:num w:numId="8" w16cid:durableId="1720939038">
    <w:abstractNumId w:val="12"/>
  </w:num>
  <w:num w:numId="9" w16cid:durableId="1849782546">
    <w:abstractNumId w:val="9"/>
  </w:num>
  <w:num w:numId="10" w16cid:durableId="825392707">
    <w:abstractNumId w:val="0"/>
  </w:num>
  <w:num w:numId="11" w16cid:durableId="448669436">
    <w:abstractNumId w:val="8"/>
  </w:num>
  <w:num w:numId="12" w16cid:durableId="16936516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496464715">
    <w:abstractNumId w:val="11"/>
  </w:num>
  <w:num w:numId="14" w16cid:durableId="170872451">
    <w:abstractNumId w:val="3"/>
  </w:num>
  <w:num w:numId="15" w16cid:durableId="161555105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364"/>
    <w:rsid w:val="00015F32"/>
    <w:rsid w:val="000302C2"/>
    <w:rsid w:val="00031F17"/>
    <w:rsid w:val="00036727"/>
    <w:rsid w:val="000515C8"/>
    <w:rsid w:val="00080611"/>
    <w:rsid w:val="000B03C5"/>
    <w:rsid w:val="00114DDF"/>
    <w:rsid w:val="001903EC"/>
    <w:rsid w:val="001A3563"/>
    <w:rsid w:val="001D06C8"/>
    <w:rsid w:val="00265F05"/>
    <w:rsid w:val="0029483E"/>
    <w:rsid w:val="002D37C2"/>
    <w:rsid w:val="002E4F17"/>
    <w:rsid w:val="0032261B"/>
    <w:rsid w:val="00326F2B"/>
    <w:rsid w:val="0034336F"/>
    <w:rsid w:val="0034741F"/>
    <w:rsid w:val="00374768"/>
    <w:rsid w:val="00376315"/>
    <w:rsid w:val="00394E64"/>
    <w:rsid w:val="003D498B"/>
    <w:rsid w:val="003D5643"/>
    <w:rsid w:val="003D6C8F"/>
    <w:rsid w:val="003F236E"/>
    <w:rsid w:val="003F2C7B"/>
    <w:rsid w:val="00405DA4"/>
    <w:rsid w:val="00481BB4"/>
    <w:rsid w:val="0049567D"/>
    <w:rsid w:val="004D0B97"/>
    <w:rsid w:val="00504483"/>
    <w:rsid w:val="0055522B"/>
    <w:rsid w:val="005C1FA3"/>
    <w:rsid w:val="00606EB7"/>
    <w:rsid w:val="00620679"/>
    <w:rsid w:val="0064671D"/>
    <w:rsid w:val="00656715"/>
    <w:rsid w:val="006A06A9"/>
    <w:rsid w:val="006B3ADF"/>
    <w:rsid w:val="006C429C"/>
    <w:rsid w:val="006E320A"/>
    <w:rsid w:val="007370BD"/>
    <w:rsid w:val="007A5CAA"/>
    <w:rsid w:val="007B0C1A"/>
    <w:rsid w:val="007C5D70"/>
    <w:rsid w:val="007D496A"/>
    <w:rsid w:val="007F4E8B"/>
    <w:rsid w:val="00815734"/>
    <w:rsid w:val="00866B28"/>
    <w:rsid w:val="00897255"/>
    <w:rsid w:val="008A4CC2"/>
    <w:rsid w:val="00900F0C"/>
    <w:rsid w:val="0097689C"/>
    <w:rsid w:val="009A7C23"/>
    <w:rsid w:val="009D7ADD"/>
    <w:rsid w:val="009E4714"/>
    <w:rsid w:val="009F777C"/>
    <w:rsid w:val="00A5091D"/>
    <w:rsid w:val="00A60F8E"/>
    <w:rsid w:val="00A62576"/>
    <w:rsid w:val="00A75FA1"/>
    <w:rsid w:val="00AA3233"/>
    <w:rsid w:val="00AD700F"/>
    <w:rsid w:val="00B0295D"/>
    <w:rsid w:val="00B330BC"/>
    <w:rsid w:val="00B526DD"/>
    <w:rsid w:val="00B544A6"/>
    <w:rsid w:val="00BB4E6D"/>
    <w:rsid w:val="00BC6168"/>
    <w:rsid w:val="00C25991"/>
    <w:rsid w:val="00C26D1B"/>
    <w:rsid w:val="00C30F0C"/>
    <w:rsid w:val="00C3279E"/>
    <w:rsid w:val="00C527CE"/>
    <w:rsid w:val="00D440DC"/>
    <w:rsid w:val="00D72364"/>
    <w:rsid w:val="00D85226"/>
    <w:rsid w:val="00DA330A"/>
    <w:rsid w:val="00DA5AE9"/>
    <w:rsid w:val="00E35D09"/>
    <w:rsid w:val="00E45882"/>
    <w:rsid w:val="00E82656"/>
    <w:rsid w:val="00E92CE4"/>
    <w:rsid w:val="00E9320E"/>
    <w:rsid w:val="00EC31FD"/>
    <w:rsid w:val="00F26A6B"/>
    <w:rsid w:val="00F709D1"/>
    <w:rsid w:val="00F86183"/>
    <w:rsid w:val="00FA2651"/>
    <w:rsid w:val="00FB5733"/>
    <w:rsid w:val="00FE7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C9197E"/>
  <w15:docId w15:val="{D9D2DD0F-1638-824F-A4D9-35B485DCA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4671D"/>
    <w:pPr>
      <w:spacing w:line="256" w:lineRule="auto"/>
      <w:jc w:val="both"/>
    </w:pPr>
    <w:rPr>
      <w:rFonts w:eastAsiaTheme="minorEastAsia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4671D"/>
    <w:pPr>
      <w:keepNext/>
      <w:keepLines/>
      <w:numPr>
        <w:numId w:val="12"/>
      </w:numPr>
      <w:spacing w:before="40" w:after="0"/>
      <w:ind w:left="426" w:hanging="426"/>
      <w:outlineLvl w:val="1"/>
    </w:pPr>
    <w:rPr>
      <w:rFonts w:ascii="Calibri" w:eastAsiaTheme="majorEastAsia" w:hAnsi="Calibri" w:cs="Calibri"/>
      <w:b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4671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723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72364"/>
  </w:style>
  <w:style w:type="paragraph" w:styleId="Zpat">
    <w:name w:val="footer"/>
    <w:basedOn w:val="Normln"/>
    <w:link w:val="ZpatChar"/>
    <w:uiPriority w:val="99"/>
    <w:unhideWhenUsed/>
    <w:rsid w:val="00D723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72364"/>
  </w:style>
  <w:style w:type="paragraph" w:styleId="Odstavecseseznamem">
    <w:name w:val="List Paragraph"/>
    <w:basedOn w:val="Normln"/>
    <w:uiPriority w:val="34"/>
    <w:qFormat/>
    <w:rsid w:val="00C25991"/>
    <w:pPr>
      <w:ind w:left="720"/>
      <w:contextualSpacing/>
    </w:pPr>
  </w:style>
  <w:style w:type="paragraph" w:customStyle="1" w:styleId="Bezodstavcovhostylu">
    <w:name w:val="[Bez odstavcového stylu]"/>
    <w:rsid w:val="00A62576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rsid w:val="0064671D"/>
    <w:rPr>
      <w:rFonts w:ascii="Calibri" w:eastAsiaTheme="majorEastAsia" w:hAnsi="Calibri" w:cs="Calibri"/>
      <w:b/>
      <w:color w:val="2E74B5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64671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64671D"/>
    <w:rPr>
      <w:color w:val="0563C1" w:themeColor="hyperlink"/>
      <w:u w:val="single"/>
    </w:rPr>
  </w:style>
  <w:style w:type="paragraph" w:styleId="Podnadpis">
    <w:name w:val="Subtitle"/>
    <w:basedOn w:val="Normln"/>
    <w:link w:val="PodnadpisChar"/>
    <w:uiPriority w:val="11"/>
    <w:qFormat/>
    <w:rsid w:val="0064671D"/>
    <w:pPr>
      <w:spacing w:after="60" w:line="240" w:lineRule="auto"/>
      <w:jc w:val="center"/>
      <w:outlineLvl w:val="1"/>
    </w:pPr>
    <w:rPr>
      <w:rFonts w:ascii="Arial" w:eastAsia="Times New Roman" w:hAnsi="Arial" w:cs="Times New Roman"/>
      <w:sz w:val="24"/>
      <w:szCs w:val="20"/>
      <w:lang w:eastAsia="cs-CZ"/>
    </w:rPr>
  </w:style>
  <w:style w:type="character" w:customStyle="1" w:styleId="PodnadpisChar">
    <w:name w:val="Podnadpis Char"/>
    <w:basedOn w:val="Standardnpsmoodstavce"/>
    <w:link w:val="Podnadpis"/>
    <w:uiPriority w:val="11"/>
    <w:rsid w:val="0064671D"/>
    <w:rPr>
      <w:rFonts w:ascii="Arial" w:eastAsia="Times New Roman" w:hAnsi="Arial" w:cs="Times New Roman"/>
      <w:sz w:val="24"/>
      <w:szCs w:val="20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34741F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9F777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74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2.vision.cz/help32/uct_uctovani_kurzovych_rozdilu_z_k_prepoctu.htm" TargetMode="Externa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" Type="http://schemas.openxmlformats.org/officeDocument/2006/relationships/settings" Target="settings.xml"/><Relationship Id="rId21" Type="http://schemas.openxmlformats.org/officeDocument/2006/relationships/image" Target="media/image13.png"/><Relationship Id="rId34" Type="http://schemas.openxmlformats.org/officeDocument/2006/relationships/footer" Target="footer2.xml"/><Relationship Id="rId7" Type="http://schemas.openxmlformats.org/officeDocument/2006/relationships/hyperlink" Target="http://www2.vision.cz/help32/index.html?tch_postup_ukoneeni_roku_v_systemu.htm" TargetMode="Externa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33" Type="http://schemas.openxmlformats.org/officeDocument/2006/relationships/footer" Target="footer1.xm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hyperlink" Target="http://www2.vision.cz/help32/uct_ucetni_zaverka.htm?zoom_highlightsub=z%C3%A1v%C4%9Brka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24" Type="http://schemas.openxmlformats.org/officeDocument/2006/relationships/image" Target="media/image16.png"/><Relationship Id="rId32" Type="http://schemas.openxmlformats.org/officeDocument/2006/relationships/header" Target="header2.xml"/><Relationship Id="rId37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image" Target="media/image20.png"/><Relationship Id="rId36" Type="http://schemas.openxmlformats.org/officeDocument/2006/relationships/footer" Target="footer3.xml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31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image" Target="media/image6.emf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hyperlink" Target="http://www2.vision.cz/dokumenty/Legislativa_2024_sazby_vyuctovani_sklady.pdf" TargetMode="External"/><Relationship Id="rId35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454</TotalTime>
  <Pages>5</Pages>
  <Words>1102</Words>
  <Characters>6507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Aleš Nehněvajsa</dc:creator>
  <cp:keywords/>
  <dc:description/>
  <cp:lastModifiedBy>František Frýbort</cp:lastModifiedBy>
  <cp:revision>35</cp:revision>
  <dcterms:created xsi:type="dcterms:W3CDTF">2022-12-05T15:14:00Z</dcterms:created>
  <dcterms:modified xsi:type="dcterms:W3CDTF">2023-12-15T15:16:00Z</dcterms:modified>
</cp:coreProperties>
</file>